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FUTEBOL CLUBE PANTANAL SAF, </w:t>
      </w:r>
      <w:r>
        <w:rPr>
          <w:sz w:val="22"/>
          <w:szCs w:val="22"/>
        </w:rPr>
        <w:t xml:space="preserve">pessoa jurídica de direito privado, inscrita no CNPJ sob nº 57.823.430/0001-20, com endereço à Rua Vinte e Cinco de Dezembro, 48, Centro, Campo Grande, MS, CEP: 79.002-061, neste ato representado na forma prevista em seu Estatuto Social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, adiante denominado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representado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“FOOTLINK”;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o fim de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CONTRATADA. A CONTRATANTE declara que não terá qualquer direito ou ação sobre o software FOOTLINK, exceto a licença temporária de uso, onerosa e não exclusiva, nos termos acordados nesse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ou de obras derivadas, mesmo que informadas, solicitadas e, eventualmente, pagas pela CONTRATANTE, ficarão incorporadas ao software FOOTLINK e sujeitas a este Contrato, podendo ser disponibilizadas/comercializadas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à CONTRATANTE, na pessoa de seus sócios, representantes, empregados, fornecedores ou terceiros interessados, copiar, alterar, desmontar, descompilar, efetuar engenharia reversa ou tomar qualquer providência visando obter os códigos-fonte do software FOOTLINK, devendo responder pelas perdas e danos que comprovadamente der causa, sem qualquer limitação de valor, incluindo danos diretos, indiretos, lucros cessantes e indenização devida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no decorrer do prazo de vigência da presente relação contratual, a conceder pleno suporte ao CONTRATANTE para utilização do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Os serviços técnicos de suporte e manutenção serão efetuados desde que não causados por: (i) negligência ou uso inadequado do Software; ou (ii) uso do Software para fins diversos do projetado.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Partindo-se da premissa de que em prestação de serviços na área de informática não existe garantia integral de manutenção do Software no ar durante 100% do tempo, a CONTRATADA se compromete a manter um SLA de disponibilidade anual o mais elevado possível, ressalvadas: (i) interrupções para ajustes técnicos ou manutenção; (ii) intervenções emergenciais de segurança; e (iii) suspensão por determinação de autoridades competentes ou por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Independente da possibilidade do suporte presencial, a CONTRATADA se compromete a prestar o suporte para utilização do FOOTLINK por meio de suas linhas de comunicação e de serviço de atendimento online.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para acesso e uso do FOOTLINK será prestado pela CONTRATADA através de seus sócios, empregados, estagiários e, eventualmente, por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SCOUT BASIC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 (uma)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Clube (com gestão de elenco, perfil com minutagem por idade, gestão de contratos, gestão de mercado)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Feed (com alertas de registro no BID e FootNews)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 (conteúdo em vídeo com análise de mercados internacionais)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de Atletas (acesso a base de dados com aproximadamente 600 mil atletas, masculino e feminino, desde os 7 anos de idade)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 de Atletas (visualização de dados de contrato, carreira, desempenho, jogos com recursos para geração de relatórios, registro de avaliações e anotações sobre o atleta. Para atletas do clube, pode publicar vídeos e relatórios para qualificar apresentação do atleta)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(visualizações de dados de competições, com o maior acervo de dados de competições de base organizadas por federações e CBF)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(organização do workflow de análise de mercado com geração de relatórios em formato de time sombra)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05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(registro dos atletas monitorados para recebimento de atualizações, organizar em listas e registrar informações)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500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(registro de avaliações de atletas na plataforma, com relatórios em lista e gráficos)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1.000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(anunciar atletas sem contrato e visualizar necessidades dos clubes, podendo oferecer atletas e gerenciar negociações)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Chat Integrado (ferramenta de comunicação com clubes e agentes)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Recebe e envia mensagens para clubes clientes Footlink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Agências Listagem de agentes clientes do Footlink com seus 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individuais contratadas serão distribuídas em 2 (dois) níveis de acesso, “gerencial” e “analista”, conforme lista a ser enviada pelo clube após a assinatura do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 de acesso, inclusão e troca de logins poderão ser feitas pela CONTRATANTE a qualquer momento, sem qualquer custo adicional.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a CONTRATANTE queira contratar mais licenças que as que constam no presente contrato, será acrescido ao pagamento mensal o valor de R$ 550,00/mês por licença. A cobrança das licenças adicionais se dará na próxima fatura em aberto do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contratado na modalidade anual, o CONTRATANTE pagará à CONTRATADA o valor total de R$ 6.600,00 (seis mil e seiscentos reais), parcelados em 12 pagamentos fixos de R$ 550,00 (quinhentos e cinquenta reais) ao mês a título de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Para fins deste contrato, a obrigação financeira é assumida de forma integral pelo período de 12 (doze) meses, não se confundindo com a forma de pagamento ajustada, que constitui mera facilidade concedida ao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Ajustam as partes que os pagamentos se darão através de transferência eletrônica (pix), cabendo ao CONTRATANTE a obrigação de envio imediato do comprovante de pagamento ao e-mail financeiro@footure.com.br, tão logo este seja realizado. O pagamento será realizado até o dia 25 de cada mês, com apresentação da nota fiscal, e previsão do primeiro pagamento a partir de 25/08/2026, através dos seguintes dados bancários: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FOOTURE PRODUTORA DE CONTEUDO, SOFTWARE E SERVICOS LTDA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(CNPJ: 32.527.841/0001-48)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BANCO: INTER S.A. 077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AGÊNCIA: 0001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CONTA CORRENTE: 2463249 – 0</w:t>
      </w:r>
    </w:p>
    <w:p>
      <w:pPr>
        <w:spacing w:after="0"/>
        <w:jc w:val="left"/>
      </w:pPr>
      <w:r>
        <w:rPr>
          <w:b/>
          <w:bCs/>
          <w:sz w:val="22"/>
          <w:szCs w:val="22"/>
        </w:rPr>
        <w:t xml:space="preserve">PIX: CNPJ32527841000148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200"/>
      </w:tblGrid>
      <w:tr>
        <w:trPr>
          <w:tblHeader/>
        </w:trPr>
        <w:tc>
          <w:tcPr>
            <w:tcW w:type="dxa" w:w="1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Parcela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Mês de Vigência</w:t>
            </w:r>
          </w:p>
        </w:tc>
        <w:tc>
          <w:tcPr>
            <w:tcW w:type="dxa" w:w="3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Vencimento da Parcela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Agosto/2026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25/08/2026 a 24/09/2026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25/08/2026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Setembro/2026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25/09/2026 a 24/10/2026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25/09/2026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Outubro/2026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25/10/2026 a 24/11/2026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25/10/2026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Novembro/2026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25/11/2026 a 24/12/2026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25/11/2026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Dezembro/2026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25/12/2026 a 24/01/2027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25/12/2026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Janeiro/2027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25/01/2027 a 24/02/2027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25/01/2027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Fevereiro/2027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25/02/2027 a 24/03/2027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25/02/2027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Março/2027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25/03/2027 a 24/04/2027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25/03/2027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Abril/2027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25/04/2027 a 24/05/2027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25/04/2027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Maio/2027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25/05/2027 a 24/06/2027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25/05/2027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Junho/2027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25/06/2027 a 24/07/2027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25/06/2027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Julho/2027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25/07/2027 a 24/08/2027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25/07/2027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ajustado implicará a incidência de juros de mora de 1% (um por cento) ao mês e multa de 2% (dois por cento), ambos sobre o valor em atraso, com correção pelo IGPM-FGV até o efetivo pagamento. O inadimplemento superior a 30 (trinta) dias autorizará o imediato cancelamento da licença e a suspensão das senhas de acesso ao Software Footlink, a critério da CONTRATADA, sem prejuízo da rescisão prevista na Cláusula DÉCIMA SEGUNDA.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DÉCIMA: </w:t>
      </w:r>
      <w:r>
        <w:rPr>
          <w:sz w:val="22"/>
          <w:szCs w:val="22"/>
        </w:rPr>
        <w:t xml:space="preserve">O CONTRATANTE autoriza à CONTRATADA a publicação da prestação dos serviços como referência em suas redes sociais (Instagram, twitter, facebook e linkedin) @FootureFC, @footlink.app, @Footlink.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presente contrato é celebrado por prazo determinado de 12 (doze) meses, iniciando-se em 25/08/2026 e encerrando-se em 24/08/2027, sendo que, findo o período e havendo interesse das partes, deverão celebrar novo instrumento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O cancelamento antecipado do contrato pelo CONTRATANTE, ainda que com aviso prévio de 30 (trinta) dias, implicará a retenção dos valores já recebidos pela CONTRATADA, acrescido de multa contratual referentes à soma dos valores de 03 (três) mensalidades. O cancelamento antecipado por parte da CONTRATADA ensejará a restituição proporcional dos valores recebidos relativos aos meses vincendos eventualmente não usufruídos pelo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ou cancelar sua assinatura deverá formalizar a solicitação exclusivamente por comunicação escrita ao e-mail cancelamentos@footure.com.br, com antecedência mínima de 30 (trinta) dias.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A CONTRATADA obriga-se expressamente a manter em estrito sigilo as informações confidenciais recebidas, bem como a não utilizá-las para outros fins. Da mesma forma, o CONTRATANTE obriga-se a não divulgar ou repassar a terceiros as metodologias e tecnologias da CONTRATADA, mantendo sigilo das informações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tratarão como sigilosas todas as informações confidenciais a que tiverem acesso, em especial dados pessoais e informações técnicas, estratégicas, econômicas ou de mercado.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Eventual obrigação de sigilo relativa às informações incluídas e/ou extraídas do Software FOOTLINK é de responsabilidade do CONTRATANTE quanto ao uso interno, e da CONTRATADA quanto à guarda e segurança tecnológica.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Não há restrição de divulgação quando: a) a informação se torna pública por outra via que não a Parte Receptora; b) é obtida de terceiros com autorização; c) já era de conhecimento prévio da Parte Receptora.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4º: </w:t>
      </w:r>
      <w:r>
        <w:rPr>
          <w:sz w:val="22"/>
          <w:szCs w:val="22"/>
        </w:rPr>
        <w:t xml:space="preserve">É vedada a divulgação de informações confidenciais salvo consentimento expresso, admitido o fornecimento por ordem judicial/administrativa mediante notificação prévia. A disposição perdura durante a vigência e por 05 (cinco) anos após o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A CONTRATANTE declara expresso consentimento para que a CONTRATADA colete, trate e compartilhe os dados necessários ao cumprimento do contrato, nos termos do Art. 7º, incisos II, V, IX e X da LGPD. Outros dados poderão ser coletados conforme termo de consentimento específico.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6º: </w:t>
      </w:r>
      <w:r>
        <w:rPr>
          <w:sz w:val="22"/>
          <w:szCs w:val="22"/>
        </w:rPr>
        <w:t xml:space="preserve">Serão consideradas confidenciais, ainda, as informações identificadas como tais pelas partes ou que, pela natureza ou circunstâncias da revelação, devam ser assim consideradas.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Havendo contradição entre este instrumento e a Proposta Comercial ou qualquer outro documento, prevalecerá o disposto neste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O CONTRATANTE reconhece que 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Encerrada a vigência sem prorrogação, as informações inseridas serão entregues em arquivo “csv” e, após, imediatamente excluídas junto com as senhas e logins de acesso.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OITAVA: </w:t>
      </w:r>
      <w:r>
        <w:rPr>
          <w:sz w:val="22"/>
          <w:szCs w:val="22"/>
        </w:rPr>
        <w:t xml:space="preserve">Este ajuste somente poderá ser alterado, substituído, rescindido, renovado ou prorrogado por instrumento escrito assinado pelas partes, constituindo o entendimento completo entre elas, obrigando sucessores; eventos de força maior serão comunicados de imediato; a tolerância quanto a atraso não altera as condições pactuadas.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NONA: </w:t>
      </w:r>
      <w:r>
        <w:rPr>
          <w:sz w:val="22"/>
          <w:szCs w:val="22"/>
        </w:rPr>
        <w:t xml:space="preserve">Elegem as partes o Foro Central da Comarca de Porto Alegre - RS,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Porto Alegre, 20 de março de 2026.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FUTEBOL CLUBE PANTANAL SAF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Uso do Software Footlink  ·  FUTEBOL CLUBE PANTANAL SAF  ·  Início da vigência: 25/08/2026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d942787f19e646815953c26a667908ee6bdc8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2026-09-23T00:18:47.790Z</dcterms:created>
  <dcterms:modified xsi:type="dcterms:W3CDTF">2026-09-23T00:18:47.802Z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