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Helvetica Neue" w:cs="Helvetica Neue" w:eastAsia="Helvetica Neue" w:hAnsi="Helvetica Neue"/>
          <w:b/>
          <w:bCs/>
          <w:color w:val="1A1A2E"/>
          <w:sz w:val="72"/>
          <w:szCs w:val="72"/>
        </w:rPr>
        <w:t xml:space="preserve">Chillin</w:t>
      </w:r>
    </w:p>
    <w:p>
      <w:pPr>
        <w:spacing w:before="200"/>
        <w:jc w:val="center"/>
      </w:pPr>
      <w:r>
        <w:rPr>
          <w:rFonts w:ascii="Helvetica Neue" w:cs="Helvetica Neue" w:eastAsia="Helvetica Neue" w:hAnsi="Helvetica Neue"/>
          <w:i/>
          <w:iCs/>
          <w:color w:val="666666"/>
          <w:sz w:val="32"/>
          <w:szCs w:val="32"/>
        </w:rPr>
        <w:t xml:space="preserve">We handle it. You chill.</w:t>
      </w:r>
    </w:p>
    <w:p>
      <w:pPr>
        <w:spacing w:before="600"/>
        <w:jc w:val="center"/>
      </w:pPr>
      <w:r>
        <w:rPr>
          <w:rFonts w:ascii="Helvetica Neue" w:cs="Helvetica Neue" w:eastAsia="Helvetica Neue" w:hAnsi="Helvetica Neue"/>
          <w:color w:val="999999"/>
          <w:sz w:val="28"/>
          <w:szCs w:val="28"/>
        </w:rPr>
        <w:t xml:space="preserve">Pitch &amp; Product Overview</w:t>
      </w:r>
    </w:p>
    <w:p>
      <w:pPr>
        <w:spacing w:before="200"/>
        <w:jc w:val="center"/>
      </w:pPr>
      <w:r>
        <w:rPr>
          <w:rFonts w:ascii="Helvetica Neue" w:cs="Helvetica Neue" w:eastAsia="Helvetica Neue" w:hAnsi="Helvetica Neue"/>
          <w:color w:val="999999"/>
          <w:sz w:val="22"/>
          <w:szCs w:val="22"/>
        </w:rPr>
        <w:t xml:space="preserve">February 2026 • Confidential</w:t>
      </w:r>
    </w:p>
    <w:p>
      <w:pPr>
        <w:sectPr>
          <w:pgSz w:w="12240" w:h="15840" w:orient="portrait"/>
          <w:pgMar w:top="1440" w:right="1440" w:bottom="1440" w:left="1440" w:header="708" w:footer="708" w:gutter="0"/>
          <w:pgNumType/>
          <w:docGrid w:linePitch="360"/>
        </w:sectPr>
      </w:pPr>
    </w:p>
    <w:p>
      <w:pPr>
        <w:pStyle w:val="Heading1"/>
        <w:spacing w:before="400" w:after="200"/>
      </w:pPr>
      <w:r>
        <w:rPr>
          <w:rFonts w:ascii="Helvetica Neue" w:cs="Helvetica Neue" w:eastAsia="Helvetica Neue" w:hAnsi="Helvetica Neue"/>
          <w:b/>
          <w:bCs/>
          <w:color w:val="1A1A2E"/>
          <w:sz w:val="36"/>
          <w:szCs w:val="36"/>
        </w:rPr>
        <w:t xml:space="preserve">The Problem</w:t>
      </w:r>
    </w:p>
    <w:p>
      <w:pPr>
        <w:spacing w:after="200"/>
      </w:pPr>
      <w:r>
        <w:rPr>
          <w:rFonts w:ascii="Helvetica Neue" w:cs="Helvetica Neue" w:eastAsia="Helvetica Neue" w:hAnsi="Helvetica Neue"/>
          <w:color w:val="333333"/>
          <w:sz w:val="22"/>
          <w:szCs w:val="22"/>
        </w:rPr>
        <w:t xml:space="preserve">Customer support is universally broken. Every consumer knows the pain: you call your bank, airline, or broadband provider and enter a maze of hold music, automated menus, department transfers, and agents who can’t actually help.</w:t>
      </w:r>
    </w:p>
    <w:p>
      <w:pPr>
        <w:pStyle w:val="ListParagraph"/>
        <w:numPr>
          <w:ilvl w:val="0"/>
          <w:numId w:val="2"/>
        </w:numPr>
        <w:spacing w:after="120"/>
      </w:pPr>
      <w:r>
        <w:rPr>
          <w:rFonts w:ascii="Helvetica Neue" w:cs="Helvetica Neue" w:eastAsia="Helvetica Neue" w:hAnsi="Helvetica Neue"/>
          <w:color w:val="333333"/>
          <w:sz w:val="22"/>
          <w:szCs w:val="22"/>
        </w:rPr>
        <w:t xml:space="preserve">The average UK consumer spends 15–20 hours per year dealing with support issues across multiple providers</w:t>
      </w:r>
    </w:p>
    <w:p>
      <w:pPr>
        <w:pStyle w:val="ListParagraph"/>
        <w:numPr>
          <w:ilvl w:val="0"/>
          <w:numId w:val="2"/>
        </w:numPr>
        <w:spacing w:after="120"/>
      </w:pPr>
      <w:r>
        <w:rPr>
          <w:rFonts w:ascii="Helvetica Neue" w:cs="Helvetica Neue" w:eastAsia="Helvetica Neue" w:hAnsi="Helvetica Neue"/>
          <w:color w:val="333333"/>
          <w:sz w:val="22"/>
          <w:szCs w:val="22"/>
        </w:rPr>
        <w:t xml:space="preserve">Average hold times for major companies range from 30–90 minutes</w:t>
      </w:r>
    </w:p>
    <w:p>
      <w:pPr>
        <w:pStyle w:val="ListParagraph"/>
        <w:numPr>
          <w:ilvl w:val="0"/>
          <w:numId w:val="2"/>
        </w:numPr>
        <w:spacing w:after="120"/>
      </w:pPr>
      <w:r>
        <w:rPr>
          <w:rFonts w:ascii="Helvetica Neue" w:cs="Helvetica Neue" w:eastAsia="Helvetica Neue" w:hAnsi="Helvetica Neue"/>
          <w:color w:val="333333"/>
          <w:sz w:val="22"/>
          <w:szCs w:val="22"/>
        </w:rPr>
        <w:t xml:space="preserve">67% of consumers have abandoned a support interaction out of frustration</w:t>
      </w:r>
    </w:p>
    <w:p>
      <w:pPr>
        <w:pStyle w:val="ListParagraph"/>
        <w:numPr>
          <w:ilvl w:val="0"/>
          <w:numId w:val="2"/>
        </w:numPr>
        <w:spacing w:after="120"/>
      </w:pPr>
      <w:r>
        <w:rPr>
          <w:rFonts w:ascii="Helvetica Neue" w:cs="Helvetica Neue" w:eastAsia="Helvetica Neue" w:hAnsi="Helvetica Neue"/>
          <w:color w:val="333333"/>
          <w:sz w:val="22"/>
          <w:szCs w:val="22"/>
        </w:rPr>
        <w:t xml:space="preserve">When you do get through, you’re often passed between departments, forced to re-explain your issue, and given zero visibility on resolution timelines</w:t>
      </w:r>
    </w:p>
    <w:p>
      <w:pPr>
        <w:spacing w:after="200"/>
      </w:pPr>
      <w:r>
        <w:rPr>
          <w:rFonts w:ascii="Helvetica Neue" w:cs="Helvetica Neue" w:eastAsia="Helvetica Neue" w:hAnsi="Helvetica Neue"/>
          <w:color w:val="333333"/>
          <w:sz w:val="22"/>
          <w:szCs w:val="22"/>
        </w:rPr>
        <w:t xml:space="preserve">The emotional and financial cost is enormous. People miss work, lose money to unresolved disputes, and accept poor outcomes simply because the process of fighting is too painful.</w:t>
      </w:r>
    </w:p>
    <w:p>
      <w:pPr>
        <w:spacing w:after="200"/>
      </w:pPr>
      <w:r>
        <w:rPr>
          <w:rFonts w:ascii="Helvetica Neue" w:cs="Helvetica Neue" w:eastAsia="Helvetica Neue" w:hAnsi="Helvetica Neue"/>
          <w:color w:val="333333"/>
          <w:sz w:val="22"/>
          <w:szCs w:val="22"/>
        </w:rPr>
        <w:t xml:space="preserve">Companies have invested heavily in AI chatbots and deflection strategies — but these serve the company’s interests, not the consumer’s. There is no one fighting in the consumer’s corner.</w:t>
      </w:r>
    </w:p>
    <w:p>
      <w:pPr>
        <w:pStyle w:val="Heading1"/>
        <w:spacing w:before="400" w:after="200"/>
      </w:pPr>
      <w:r>
        <w:rPr>
          <w:rFonts w:ascii="Helvetica Neue" w:cs="Helvetica Neue" w:eastAsia="Helvetica Neue" w:hAnsi="Helvetica Neue"/>
          <w:b/>
          <w:bCs/>
          <w:color w:val="1A1A2E"/>
          <w:sz w:val="36"/>
          <w:szCs w:val="36"/>
        </w:rPr>
        <w:t xml:space="preserve">The Solution</w:t>
      </w:r>
    </w:p>
    <w:p>
      <w:pPr>
        <w:spacing w:after="200"/>
      </w:pPr>
      <w:r>
        <w:rPr>
          <w:rFonts w:ascii="Helvetica Neue" w:cs="Helvetica Neue" w:eastAsia="Helvetica Neue" w:hAnsi="Helvetica Neue"/>
          <w:color w:val="333333"/>
          <w:sz w:val="22"/>
          <w:szCs w:val="22"/>
        </w:rPr>
        <w:t xml:space="preserve">Chillin is a premium monthly subscription that gives you a dedicated human advocate who handles all your customer support issues — so you never have to sit on hold again.</w:t>
      </w:r>
    </w:p>
    <w:p>
      <w:pPr>
        <w:spacing w:after="200"/>
      </w:pPr>
      <w:r>
        <w:rPr>
          <w:rFonts w:ascii="Helvetica Neue" w:cs="Helvetica Neue" w:eastAsia="Helvetica Neue" w:hAnsi="Helvetica Neue"/>
          <w:color w:val="333333"/>
          <w:sz w:val="22"/>
          <w:szCs w:val="22"/>
        </w:rPr>
        <w:t xml:space="preserve">Think of it as a personal concierge for every frustrating interaction in your life. You describe the problem, we take ownership, and you get on with your day. The experience is designed to feel effortless — like handing your keys to a valet.</w:t>
      </w:r>
    </w:p>
    <w:p>
      <w:pPr>
        <w:pStyle w:val="Heading2"/>
        <w:spacing w:before="300" w:after="150"/>
      </w:pPr>
      <w:r>
        <w:rPr>
          <w:rFonts w:ascii="Helvetica Neue" w:cs="Helvetica Neue" w:eastAsia="Helvetica Neue" w:hAnsi="Helvetica Neue"/>
          <w:b/>
          <w:bCs/>
          <w:color w:val="1A1A2E"/>
          <w:sz w:val="28"/>
          <w:szCs w:val="28"/>
        </w:rPr>
        <w:t xml:space="preserve">How It Works</w:t>
      </w:r>
    </w:p>
    <w:p>
      <w:pPr>
        <w:spacing w:after="200"/>
      </w:pPr>
      <w:r>
        <w:rPr>
          <w:rFonts w:ascii="Helvetica Neue" w:cs="Helvetica Neue" w:eastAsia="Helvetica Neue" w:hAnsi="Helvetica Neue"/>
          <w:b/>
          <w:bCs/>
          <w:color w:val="1A1A2E"/>
          <w:sz w:val="22"/>
          <w:szCs w:val="22"/>
        </w:rPr>
        <w:t xml:space="preserve">1. You speak, we listen. </w:t>
      </w:r>
      <w:r>
        <w:rPr>
          <w:rFonts w:ascii="Helvetica Neue" w:cs="Helvetica Neue" w:eastAsia="Helvetica Neue" w:hAnsi="Helvetica Neue"/>
          <w:color w:val="333333"/>
          <w:sz w:val="22"/>
          <w:szCs w:val="22"/>
        </w:rPr>
        <w:t xml:space="preserve">Open the Chillin app, describe your issue by voice or text. Our AI instantly triages and categorises the problem, pulls up the relevant company’s support playbook, and connects you with a human concierge who gives you a plain-English assessment: what’s possible, what’s realistic, and how long it typically takes.</w:t>
      </w:r>
    </w:p>
    <w:p>
      <w:pPr>
        <w:spacing w:after="200"/>
      </w:pPr>
      <w:r>
        <w:rPr>
          <w:rFonts w:ascii="Helvetica Neue" w:cs="Helvetica Neue" w:eastAsia="Helvetica Neue" w:hAnsi="Helvetica Neue"/>
          <w:b/>
          <w:bCs/>
          <w:color w:val="1A1A2E"/>
          <w:sz w:val="22"/>
          <w:szCs w:val="22"/>
        </w:rPr>
        <w:t xml:space="preserve">2. We take ownership. </w:t>
      </w:r>
      <w:r>
        <w:rPr>
          <w:rFonts w:ascii="Helvetica Neue" w:cs="Helvetica Neue" w:eastAsia="Helvetica Neue" w:hAnsi="Helvetica Neue"/>
          <w:color w:val="333333"/>
          <w:sz w:val="22"/>
          <w:szCs w:val="22"/>
        </w:rPr>
        <w:t xml:space="preserve">Your concierge contacts the company on your behalf — navigating hold queues, automated systems, escalation paths, and regulatory complaint channels. You hand off the problem and get on with your life.</w:t>
      </w:r>
    </w:p>
    <w:p>
      <w:pPr>
        <w:spacing w:after="200"/>
      </w:pPr>
      <w:r>
        <w:rPr>
          <w:rFonts w:ascii="Helvetica Neue" w:cs="Helvetica Neue" w:eastAsia="Helvetica Neue" w:hAnsi="Helvetica Neue"/>
          <w:b/>
          <w:bCs/>
          <w:color w:val="1A1A2E"/>
          <w:sz w:val="22"/>
          <w:szCs w:val="22"/>
        </w:rPr>
        <w:t xml:space="preserve">3. You stay informed. </w:t>
      </w:r>
      <w:r>
        <w:rPr>
          <w:rFonts w:ascii="Helvetica Neue" w:cs="Helvetica Neue" w:eastAsia="Helvetica Neue" w:hAnsi="Helvetica Neue"/>
          <w:color w:val="333333"/>
          <w:sz w:val="22"/>
          <w:szCs w:val="22"/>
        </w:rPr>
        <w:t xml:space="preserve">Track every open issue in the app with real-time status updates, average resolution benchmarks for that company, and clear next steps. No chasing, no wondering, no re-explaining.</w:t>
      </w:r>
    </w:p>
    <w:p>
      <w:pPr>
        <w:spacing w:after="200"/>
      </w:pPr>
      <w:r>
        <w:rPr>
          <w:rFonts w:ascii="Helvetica Neue" w:cs="Helvetica Neue" w:eastAsia="Helvetica Neue" w:hAnsi="Helvetica Neue"/>
          <w:b/>
          <w:bCs/>
          <w:color w:val="1A1A2E"/>
          <w:sz w:val="22"/>
          <w:szCs w:val="22"/>
        </w:rPr>
        <w:t xml:space="preserve">4. We resolve or escalate. </w:t>
      </w:r>
      <w:r>
        <w:rPr>
          <w:rFonts w:ascii="Helvetica Neue" w:cs="Helvetica Neue" w:eastAsia="Helvetica Neue" w:hAnsi="Helvetica Neue"/>
          <w:color w:val="333333"/>
          <w:sz w:val="22"/>
          <w:szCs w:val="22"/>
        </w:rPr>
        <w:t xml:space="preserve">If standard channels fail, we know the regulatory routes: ombudsman complaints, chargeback rights, executive email contacts, social media escalation, and formal dispute processes.</w:t>
      </w:r>
    </w:p>
    <w:p>
      <w:pPr>
        <w:sectPr>
          <w:pgSz w:w="12240" w:h="15840" w:orient="portrait"/>
          <w:pgMar w:top="1440" w:right="1440" w:bottom="1440" w:left="1440" w:header="708" w:footer="708" w:gutter="0"/>
          <w:pgNumType/>
          <w:docGrid w:linePitch="360"/>
        </w:sectPr>
      </w:pPr>
    </w:p>
    <w:p>
      <w:pPr>
        <w:pStyle w:val="Heading1"/>
        <w:spacing w:before="400" w:after="200"/>
      </w:pPr>
      <w:r>
        <w:rPr>
          <w:rFonts w:ascii="Helvetica Neue" w:cs="Helvetica Neue" w:eastAsia="Helvetica Neue" w:hAnsi="Helvetica Neue"/>
          <w:b/>
          <w:bCs/>
          <w:color w:val="1A1A2E"/>
          <w:sz w:val="36"/>
          <w:szCs w:val="36"/>
        </w:rPr>
        <w:t xml:space="preserve">The Authority Framework</w:t>
      </w:r>
    </w:p>
    <w:p>
      <w:pPr>
        <w:spacing w:after="200"/>
      </w:pPr>
      <w:r>
        <w:rPr>
          <w:rFonts w:ascii="Helvetica Neue" w:cs="Helvetica Neue" w:eastAsia="Helvetica Neue" w:hAnsi="Helvetica Neue"/>
          <w:color w:val="333333"/>
          <w:sz w:val="22"/>
          <w:szCs w:val="22"/>
        </w:rPr>
        <w:t xml:space="preserve">A common objection to consumer advocacy services is the “Authority to Act” problem: will companies actually speak to a third party? The answer is yes — because regulated industries have well-established frameworks for authorised representatives, and this complexity is our moat.</w:t>
      </w:r>
    </w:p>
    <w:p>
      <w:pPr>
        <w:pStyle w:val="Heading2"/>
        <w:spacing w:before="300" w:after="150"/>
      </w:pPr>
      <w:r>
        <w:rPr>
          <w:rFonts w:ascii="Helvetica Neue" w:cs="Helvetica Neue" w:eastAsia="Helvetica Neue" w:hAnsi="Helvetica Neue"/>
          <w:b/>
          <w:bCs/>
          <w:color w:val="1A1A2E"/>
          <w:sz w:val="28"/>
          <w:szCs w:val="28"/>
        </w:rPr>
        <w:t xml:space="preserve">How It Works Legally</w:t>
      </w:r>
    </w:p>
    <w:p>
      <w:pPr>
        <w:spacing w:after="200"/>
      </w:pPr>
      <w:r>
        <w:rPr>
          <w:rFonts w:ascii="Helvetica Neue" w:cs="Helvetica Neue" w:eastAsia="Helvetica Neue" w:hAnsi="Helvetica Neue"/>
          <w:color w:val="333333"/>
          <w:sz w:val="22"/>
          <w:szCs w:val="22"/>
        </w:rPr>
        <w:t xml:space="preserve">On signup, members complete a digital Letter of Authority (LoA) — a GDPR-compliant, legally binding authorisation that designates Chillin as their representative for complaints and dispute resolution. This is the same mechanism used by insurance brokers, claims management companies, solicitors, and financial advisers every day across the UK.</w:t>
      </w:r>
    </w:p>
    <w:p>
      <w:pPr>
        <w:pStyle w:val="ListParagraph"/>
        <w:numPr>
          <w:ilvl w:val="0"/>
          <w:numId w:val="2"/>
        </w:numPr>
        <w:spacing w:after="120"/>
      </w:pPr>
      <w:r>
        <w:rPr>
          <w:rFonts w:ascii="Helvetica Neue" w:cs="Helvetica Neue" w:eastAsia="Helvetica Neue" w:hAnsi="Helvetica Neue"/>
          <w:color w:val="333333"/>
          <w:sz w:val="22"/>
          <w:szCs w:val="22"/>
        </w:rPr>
        <w:t xml:space="preserve">GDPR Article 6(1)(a): Explicit consent to act on the member’s behalf</w:t>
      </w:r>
    </w:p>
    <w:p>
      <w:pPr>
        <w:pStyle w:val="ListParagraph"/>
        <w:numPr>
          <w:ilvl w:val="0"/>
          <w:numId w:val="2"/>
        </w:numPr>
        <w:spacing w:after="120"/>
      </w:pPr>
      <w:r>
        <w:rPr>
          <w:rFonts w:ascii="Helvetica Neue" w:cs="Helvetica Neue" w:eastAsia="Helvetica Neue" w:hAnsi="Helvetica Neue"/>
          <w:color w:val="333333"/>
          <w:sz w:val="22"/>
          <w:szCs w:val="22"/>
        </w:rPr>
        <w:t xml:space="preserve">Consumer Rights Act 2015: Consumers can appoint representatives for complaints</w:t>
      </w:r>
    </w:p>
    <w:p>
      <w:pPr>
        <w:pStyle w:val="ListParagraph"/>
        <w:numPr>
          <w:ilvl w:val="0"/>
          <w:numId w:val="2"/>
        </w:numPr>
        <w:spacing w:after="120"/>
      </w:pPr>
      <w:r>
        <w:rPr>
          <w:rFonts w:ascii="Helvetica Neue" w:cs="Helvetica Neue" w:eastAsia="Helvetica Neue" w:hAnsi="Helvetica Neue"/>
          <w:color w:val="333333"/>
          <w:sz w:val="22"/>
          <w:szCs w:val="22"/>
        </w:rPr>
        <w:t xml:space="preserve">FCA/Ofcom/Ofgem: All regulated industries have formal third-party complaint processes</w:t>
      </w:r>
    </w:p>
    <w:p>
      <w:pPr>
        <w:pStyle w:val="ListParagraph"/>
        <w:numPr>
          <w:ilvl w:val="0"/>
          <w:numId w:val="2"/>
        </w:numPr>
        <w:spacing w:after="120"/>
      </w:pPr>
      <w:r>
        <w:rPr>
          <w:rFonts w:ascii="Helvetica Neue" w:cs="Helvetica Neue" w:eastAsia="Helvetica Neue" w:hAnsi="Helvetica Neue"/>
          <w:color w:val="333333"/>
          <w:sz w:val="22"/>
          <w:szCs w:val="22"/>
        </w:rPr>
        <w:t xml:space="preserve">HMRC Form 64-8: Establishes authorised agents for tax matters</w:t>
      </w:r>
    </w:p>
    <w:p>
      <w:pPr>
        <w:pStyle w:val="Heading2"/>
        <w:spacing w:before="300" w:after="150"/>
      </w:pPr>
      <w:r>
        <w:rPr>
          <w:rFonts w:ascii="Helvetica Neue" w:cs="Helvetica Neue" w:eastAsia="Helvetica Neue" w:hAnsi="Helvetica Neue"/>
          <w:b/>
          <w:bCs/>
          <w:color w:val="1A1A2E"/>
          <w:sz w:val="28"/>
          <w:szCs w:val="28"/>
        </w:rPr>
        <w:t xml:space="preserve">Why Complexity Is Our Moat</w:t>
      </w:r>
    </w:p>
    <w:p>
      <w:pPr>
        <w:spacing w:after="200"/>
      </w:pPr>
      <w:r>
        <w:rPr>
          <w:rFonts w:ascii="Helvetica Neue" w:cs="Helvetica Neue" w:eastAsia="Helvetica Neue" w:hAnsi="Helvetica Neue"/>
          <w:color w:val="333333"/>
          <w:sz w:val="22"/>
          <w:szCs w:val="22"/>
        </w:rPr>
        <w:t xml:space="preserve">This is the Numan/Juniper model applied to consumer advocacy. Numan turned healthcare regulation into a competitive advantage — the compliance burden that deters casual competitors becomes a defensible moat for those who build the infrastructure properly.</w:t>
      </w:r>
    </w:p>
    <w:p>
      <w:pPr>
        <w:pStyle w:val="ListParagraph"/>
        <w:numPr>
          <w:ilvl w:val="0"/>
          <w:numId w:val="2"/>
        </w:numPr>
        <w:spacing w:after="120"/>
      </w:pPr>
      <w:r>
        <w:rPr>
          <w:rFonts w:ascii="Helvetica Neue" w:cs="Helvetica Neue" w:eastAsia="Helvetica Neue" w:hAnsi="Helvetica Neue"/>
          <w:color w:val="333333"/>
          <w:sz w:val="22"/>
          <w:szCs w:val="22"/>
        </w:rPr>
        <w:t xml:space="preserve">Legal framework design requires specialist knowledge and upfront investment</w:t>
      </w:r>
    </w:p>
    <w:p>
      <w:pPr>
        <w:pStyle w:val="ListParagraph"/>
        <w:numPr>
          <w:ilvl w:val="0"/>
          <w:numId w:val="2"/>
        </w:numPr>
        <w:spacing w:after="120"/>
      </w:pPr>
      <w:r>
        <w:rPr>
          <w:rFonts w:ascii="Helvetica Neue" w:cs="Helvetica Neue" w:eastAsia="Helvetica Neue" w:hAnsi="Helvetica Neue"/>
          <w:color w:val="333333"/>
          <w:sz w:val="22"/>
          <w:szCs w:val="22"/>
        </w:rPr>
        <w:t xml:space="preserve">Company-specific authorisation processes must be mapped and maintained</w:t>
      </w:r>
    </w:p>
    <w:p>
      <w:pPr>
        <w:pStyle w:val="ListParagraph"/>
        <w:numPr>
          <w:ilvl w:val="0"/>
          <w:numId w:val="2"/>
        </w:numPr>
        <w:spacing w:after="120"/>
      </w:pPr>
      <w:r>
        <w:rPr>
          <w:rFonts w:ascii="Helvetica Neue" w:cs="Helvetica Neue" w:eastAsia="Helvetica Neue" w:hAnsi="Helvetica Neue"/>
          <w:color w:val="333333"/>
          <w:sz w:val="22"/>
          <w:szCs w:val="22"/>
        </w:rPr>
        <w:t xml:space="preserve">FCA/CMC licensing (for financial recovery) creates a hard barrier to entry</w:t>
      </w:r>
    </w:p>
    <w:p>
      <w:pPr>
        <w:pStyle w:val="ListParagraph"/>
        <w:numPr>
          <w:ilvl w:val="0"/>
          <w:numId w:val="2"/>
        </w:numPr>
        <w:spacing w:after="120"/>
      </w:pPr>
      <w:r>
        <w:rPr>
          <w:rFonts w:ascii="Helvetica Neue" w:cs="Helvetica Neue" w:eastAsia="Helvetica Neue" w:hAnsi="Helvetica Neue"/>
          <w:color w:val="333333"/>
          <w:sz w:val="22"/>
          <w:szCs w:val="22"/>
        </w:rPr>
        <w:t xml:space="preserve">Trust infrastructure (identity verification, secure data handling) compounds over time</w:t>
      </w:r>
    </w:p>
    <w:p>
      <w:pPr>
        <w:spacing w:after="200"/>
      </w:pPr>
      <w:r>
        <w:rPr>
          <w:rFonts w:ascii="Helvetica Neue" w:cs="Helvetica Neue" w:eastAsia="Helvetica Neue" w:hAnsi="Helvetica Neue"/>
          <w:color w:val="333333"/>
          <w:sz w:val="22"/>
          <w:szCs w:val="22"/>
        </w:rPr>
        <w:t xml:space="preserve">A new entrant cannot simply “build an app” — they must navigate the same regulatory landscape, build the same authority framework, and establish the same company relationships. This takes years.</w:t>
      </w:r>
    </w:p>
    <w:p>
      <w:pPr>
        <w:pStyle w:val="Heading1"/>
        <w:spacing w:before="400" w:after="200"/>
      </w:pPr>
      <w:r>
        <w:rPr>
          <w:rFonts w:ascii="Helvetica Neue" w:cs="Helvetica Neue" w:eastAsia="Helvetica Neue" w:hAnsi="Helvetica Neue"/>
          <w:b/>
          <w:bCs/>
          <w:color w:val="1A1A2E"/>
          <w:sz w:val="36"/>
          <w:szCs w:val="36"/>
        </w:rPr>
        <w:t xml:space="preserve">What We Can Handle</w:t>
      </w:r>
    </w:p>
    <w:p>
      <w:pPr>
        <w:spacing w:after="200"/>
      </w:pPr>
      <w:r>
        <w:rPr>
          <w:rFonts w:ascii="Helvetica Neue" w:cs="Helvetica Neue" w:eastAsia="Helvetica Neue" w:hAnsi="Helvetica Neue"/>
          <w:color w:val="333333"/>
          <w:sz w:val="22"/>
          <w:szCs w:val="22"/>
        </w:rPr>
        <w:t xml:space="preserve">We have mapped the UK’s consumer service landscape into three tiers based on the authority framework required. This determines our service model for each category.</w:t>
      </w:r>
    </w:p>
    <w:p>
      <w:pPr>
        <w:pStyle w:val="Heading2"/>
        <w:spacing w:before="300" w:after="150"/>
      </w:pPr>
      <w:r>
        <w:rPr>
          <w:rFonts w:ascii="Helvetica Neue" w:cs="Helvetica Neue" w:eastAsia="Helvetica Neue" w:hAnsi="Helvetica Neue"/>
          <w:b/>
          <w:bCs/>
          <w:color w:val="1A1A2E"/>
          <w:sz w:val="28"/>
          <w:szCs w:val="28"/>
        </w:rPr>
        <w:t xml:space="preserve">Tier 1: Full Resolution — Letter of Authority</w:t>
      </w:r>
    </w:p>
    <w:p>
      <w:pPr>
        <w:spacing w:after="200"/>
      </w:pPr>
      <w:r>
        <w:rPr>
          <w:rFonts w:ascii="Helvetica Neue" w:cs="Helvetica Neue" w:eastAsia="Helvetica Neue" w:hAnsi="Helvetica Neue"/>
          <w:color w:val="333333"/>
          <w:sz w:val="22"/>
          <w:szCs w:val="22"/>
        </w:rPr>
        <w:t xml:space="preserve">These categories accept authorised representatives as standard practice. Chillin handles everything end-to-end with no member involvement required after initial submission.</w:t>
      </w:r>
    </w:p>
    <w:p>
      <w:pPr>
        <w:pStyle w:val="ListParagraph"/>
        <w:numPr>
          <w:ilvl w:val="0"/>
          <w:numId w:val="2"/>
        </w:numPr>
        <w:spacing w:after="120"/>
      </w:pPr>
      <w:r>
        <w:rPr>
          <w:rFonts w:ascii="Helvetica Neue" w:cs="Helvetica Neue" w:eastAsia="Helvetica Neue" w:hAnsi="Helvetica Neue"/>
          <w:color w:val="333333"/>
          <w:sz w:val="22"/>
          <w:szCs w:val="22"/>
        </w:rPr>
        <w:t xml:space="preserve">Telecom complaints, cancellations, billing disputes (Ofcom-regulated)</w:t>
      </w:r>
    </w:p>
    <w:p>
      <w:pPr>
        <w:pStyle w:val="ListParagraph"/>
        <w:numPr>
          <w:ilvl w:val="0"/>
          <w:numId w:val="2"/>
        </w:numPr>
        <w:spacing w:after="120"/>
      </w:pPr>
      <w:r>
        <w:rPr>
          <w:rFonts w:ascii="Helvetica Neue" w:cs="Helvetica Neue" w:eastAsia="Helvetica Neue" w:hAnsi="Helvetica Neue"/>
          <w:color w:val="333333"/>
          <w:sz w:val="22"/>
          <w:szCs w:val="22"/>
        </w:rPr>
        <w:t xml:space="preserve">Energy supplier switches, complaints, overcharges (Ofgem-regulated)</w:t>
      </w:r>
    </w:p>
    <w:p>
      <w:pPr>
        <w:pStyle w:val="ListParagraph"/>
        <w:numPr>
          <w:ilvl w:val="0"/>
          <w:numId w:val="2"/>
        </w:numPr>
        <w:spacing w:after="120"/>
      </w:pPr>
      <w:r>
        <w:rPr>
          <w:rFonts w:ascii="Helvetica Neue" w:cs="Helvetica Neue" w:eastAsia="Helvetica Neue" w:hAnsi="Helvetica Neue"/>
          <w:color w:val="333333"/>
          <w:sz w:val="22"/>
          <w:szCs w:val="22"/>
        </w:rPr>
        <w:t xml:space="preserve">Flight compensation claims — EU261/UK261 (companies legally obligated to respond to authorised representatives)</w:t>
      </w:r>
    </w:p>
    <w:p>
      <w:pPr>
        <w:pStyle w:val="ListParagraph"/>
        <w:numPr>
          <w:ilvl w:val="0"/>
          <w:numId w:val="2"/>
        </w:numPr>
        <w:spacing w:after="120"/>
      </w:pPr>
      <w:r>
        <w:rPr>
          <w:rFonts w:ascii="Helvetica Neue" w:cs="Helvetica Neue" w:eastAsia="Helvetica Neue" w:hAnsi="Helvetica Neue"/>
          <w:color w:val="333333"/>
          <w:sz w:val="22"/>
          <w:szCs w:val="22"/>
        </w:rPr>
        <w:t xml:space="preserve">Insurance complaints and claims chasing (FCA-regulated; brokers already operate this way)</w:t>
      </w:r>
    </w:p>
    <w:p>
      <w:pPr>
        <w:pStyle w:val="ListParagraph"/>
        <w:numPr>
          <w:ilvl w:val="0"/>
          <w:numId w:val="2"/>
        </w:numPr>
        <w:spacing w:after="120"/>
      </w:pPr>
      <w:r>
        <w:rPr>
          <w:rFonts w:ascii="Helvetica Neue" w:cs="Helvetica Neue" w:eastAsia="Helvetica Neue" w:hAnsi="Helvetica Neue"/>
          <w:color w:val="333333"/>
          <w:sz w:val="22"/>
          <w:szCs w:val="22"/>
        </w:rPr>
        <w:t xml:space="preserve">Retail and e-commerce refunds, delivery disputes (Consumer Rights Act 2015)</w:t>
      </w:r>
    </w:p>
    <w:p>
      <w:pPr>
        <w:pStyle w:val="ListParagraph"/>
        <w:numPr>
          <w:ilvl w:val="0"/>
          <w:numId w:val="2"/>
        </w:numPr>
        <w:spacing w:after="120"/>
      </w:pPr>
      <w:r>
        <w:rPr>
          <w:rFonts w:ascii="Helvetica Neue" w:cs="Helvetica Neue" w:eastAsia="Helvetica Neue" w:hAnsi="Helvetica Neue"/>
          <w:color w:val="333333"/>
          <w:sz w:val="22"/>
          <w:szCs w:val="22"/>
        </w:rPr>
        <w:t xml:space="preserve">Council tax disputes, parking fine appeals (local authority processes accept representatives)</w:t>
      </w:r>
    </w:p>
    <w:p>
      <w:pPr>
        <w:pStyle w:val="ListParagraph"/>
        <w:numPr>
          <w:ilvl w:val="0"/>
          <w:numId w:val="2"/>
        </w:numPr>
        <w:spacing w:after="120"/>
      </w:pPr>
      <w:r>
        <w:rPr>
          <w:rFonts w:ascii="Helvetica Neue" w:cs="Helvetica Neue" w:eastAsia="Helvetica Neue" w:hAnsi="Helvetica Neue"/>
          <w:color w:val="333333"/>
          <w:sz w:val="22"/>
          <w:szCs w:val="22"/>
        </w:rPr>
        <w:t xml:space="preserve">Subscription cancellations (most require only account details, no identity verification)</w:t>
      </w:r>
    </w:p>
    <w:p>
      <w:pPr>
        <w:pStyle w:val="ListParagraph"/>
        <w:numPr>
          <w:ilvl w:val="0"/>
          <w:numId w:val="2"/>
        </w:numPr>
        <w:spacing w:after="120"/>
      </w:pPr>
      <w:r>
        <w:rPr>
          <w:rFonts w:ascii="Helvetica Neue" w:cs="Helvetica Neue" w:eastAsia="Helvetica Neue" w:hAnsi="Helvetica Neue"/>
          <w:color w:val="333333"/>
          <w:sz w:val="22"/>
          <w:szCs w:val="22"/>
        </w:rPr>
        <w:t xml:space="preserve">Warranty claims and product returns</w:t>
      </w:r>
    </w:p>
    <w:p>
      <w:pPr>
        <w:pStyle w:val="Heading2"/>
        <w:spacing w:before="300" w:after="150"/>
      </w:pPr>
      <w:r>
        <w:rPr>
          <w:rFonts w:ascii="Helvetica Neue" w:cs="Helvetica Neue" w:eastAsia="Helvetica Neue" w:hAnsi="Helvetica Neue"/>
          <w:b/>
          <w:bCs/>
          <w:color w:val="1A1A2E"/>
          <w:sz w:val="28"/>
          <w:szCs w:val="28"/>
        </w:rPr>
        <w:t xml:space="preserve">Tier 2: Guided Resolution — LoA + Member Involvement</w:t>
      </w:r>
    </w:p>
    <w:p>
      <w:pPr>
        <w:spacing w:after="200"/>
      </w:pPr>
      <w:r>
        <w:rPr>
          <w:rFonts w:ascii="Helvetica Neue" w:cs="Helvetica Neue" w:eastAsia="Helvetica Neue" w:hAnsi="Helvetica Neue"/>
          <w:color w:val="333333"/>
          <w:sz w:val="22"/>
          <w:szCs w:val="22"/>
        </w:rPr>
        <w:t xml:space="preserve">These categories accept authorised representatives for complaints, but require the member for specific security-gated transactions (e.g. 2FA). Chillin prepares everything, navigates hold queues, and brings the member in only at the critical moment.</w:t>
      </w:r>
    </w:p>
    <w:p>
      <w:pPr>
        <w:pStyle w:val="ListParagraph"/>
        <w:numPr>
          <w:ilvl w:val="0"/>
          <w:numId w:val="2"/>
        </w:numPr>
        <w:spacing w:after="120"/>
      </w:pPr>
      <w:r>
        <w:rPr>
          <w:rFonts w:ascii="Helvetica Neue" w:cs="Helvetica Neue" w:eastAsia="Helvetica Neue" w:hAnsi="Helvetica Neue"/>
          <w:color w:val="333333"/>
          <w:sz w:val="22"/>
          <w:szCs w:val="22"/>
        </w:rPr>
        <w:t xml:space="preserve">Banking complaints and disputes (FCA-regulated; formal complaints process accepts representatives, but transactions need 2FA)</w:t>
      </w:r>
    </w:p>
    <w:p>
      <w:pPr>
        <w:pStyle w:val="ListParagraph"/>
        <w:numPr>
          <w:ilvl w:val="0"/>
          <w:numId w:val="2"/>
        </w:numPr>
        <w:spacing w:after="120"/>
      </w:pPr>
      <w:r>
        <w:rPr>
          <w:rFonts w:ascii="Helvetica Neue" w:cs="Helvetica Neue" w:eastAsia="Helvetica Neue" w:hAnsi="Helvetica Neue"/>
          <w:color w:val="333333"/>
          <w:sz w:val="22"/>
          <w:szCs w:val="22"/>
        </w:rPr>
        <w:t xml:space="preserve">Mortgage and loan disputes (regulated, but security-gated for changes)</w:t>
      </w:r>
    </w:p>
    <w:p>
      <w:pPr>
        <w:pStyle w:val="ListParagraph"/>
        <w:numPr>
          <w:ilvl w:val="0"/>
          <w:numId w:val="2"/>
        </w:numPr>
        <w:spacing w:after="120"/>
      </w:pPr>
      <w:r>
        <w:rPr>
          <w:rFonts w:ascii="Helvetica Neue" w:cs="Helvetica Neue" w:eastAsia="Helvetica Neue" w:hAnsi="Helvetica Neue"/>
          <w:color w:val="333333"/>
          <w:sz w:val="22"/>
          <w:szCs w:val="22"/>
        </w:rPr>
        <w:t xml:space="preserve">NHS complaints and GP access issues (well-established advocacy process)</w:t>
      </w:r>
    </w:p>
    <w:p>
      <w:pPr>
        <w:pStyle w:val="ListParagraph"/>
        <w:numPr>
          <w:ilvl w:val="0"/>
          <w:numId w:val="2"/>
        </w:numPr>
        <w:spacing w:after="120"/>
      </w:pPr>
      <w:r>
        <w:rPr>
          <w:rFonts w:ascii="Helvetica Neue" w:cs="Helvetica Neue" w:eastAsia="Helvetica Neue" w:hAnsi="Helvetica Neue"/>
          <w:color w:val="333333"/>
          <w:sz w:val="22"/>
          <w:szCs w:val="22"/>
        </w:rPr>
        <w:t xml:space="preserve">HMRC queries (agents register via Form 64-8)</w:t>
      </w:r>
    </w:p>
    <w:p>
      <w:pPr>
        <w:spacing w:after="200"/>
      </w:pPr>
      <w:r>
        <w:rPr>
          <w:rFonts w:ascii="Helvetica Neue" w:cs="Helvetica Neue" w:eastAsia="Helvetica Neue" w:hAnsi="Helvetica Neue"/>
          <w:color w:val="333333"/>
          <w:sz w:val="22"/>
          <w:szCs w:val="22"/>
        </w:rPr>
        <w:t xml:space="preserve">For Tier 2, our AI handles the hold queue, navigates the IVR, and alerts the member via push notification when a human agent is on the line and their input is needed. Total member time: under 2 minutes. Total time saved: 30–60 minutes per issue.</w:t>
      </w:r>
    </w:p>
    <w:p>
      <w:pPr>
        <w:pStyle w:val="Heading2"/>
        <w:spacing w:before="300" w:after="150"/>
      </w:pPr>
      <w:r>
        <w:rPr>
          <w:rFonts w:ascii="Helvetica Neue" w:cs="Helvetica Neue" w:eastAsia="Helvetica Neue" w:hAnsi="Helvetica Neue"/>
          <w:b/>
          <w:bCs/>
          <w:color w:val="1A1A2E"/>
          <w:sz w:val="28"/>
          <w:szCs w:val="28"/>
        </w:rPr>
        <w:t xml:space="preserve">Tier 3: Advisory + Hold-for-Me</w:t>
      </w:r>
    </w:p>
    <w:p>
      <w:pPr>
        <w:spacing w:after="200"/>
      </w:pPr>
      <w:r>
        <w:rPr>
          <w:rFonts w:ascii="Helvetica Neue" w:cs="Helvetica Neue" w:eastAsia="Helvetica Neue" w:hAnsi="Helvetica Neue"/>
          <w:color w:val="333333"/>
          <w:sz w:val="22"/>
          <w:szCs w:val="22"/>
        </w:rPr>
        <w:t xml:space="preserve">For highly restricted scenarios, we provide the complete playbook and our “Hold-for-Me” technology: we dial, wait, and transfer the live agent to the member.</w:t>
      </w:r>
    </w:p>
    <w:p>
      <w:pPr>
        <w:pStyle w:val="ListParagraph"/>
        <w:numPr>
          <w:ilvl w:val="0"/>
          <w:numId w:val="2"/>
        </w:numPr>
        <w:spacing w:after="120"/>
      </w:pPr>
      <w:r>
        <w:rPr>
          <w:rFonts w:ascii="Helvetica Neue" w:cs="Helvetica Neue" w:eastAsia="Helvetica Neue" w:hAnsi="Helvetica Neue"/>
          <w:color w:val="333333"/>
          <w:sz w:val="22"/>
          <w:szCs w:val="22"/>
        </w:rPr>
        <w:t xml:space="preserve">Court and legal proceedings</w:t>
      </w:r>
    </w:p>
    <w:p>
      <w:pPr>
        <w:pStyle w:val="ListParagraph"/>
        <w:numPr>
          <w:ilvl w:val="0"/>
          <w:numId w:val="2"/>
        </w:numPr>
        <w:spacing w:after="120"/>
      </w:pPr>
      <w:r>
        <w:rPr>
          <w:rFonts w:ascii="Helvetica Neue" w:cs="Helvetica Neue" w:eastAsia="Helvetica Neue" w:hAnsi="Helvetica Neue"/>
          <w:color w:val="333333"/>
          <w:sz w:val="22"/>
          <w:szCs w:val="22"/>
        </w:rPr>
        <w:t xml:space="preserve">Benefits/DWP appeals (strict identity requirements)</w:t>
      </w:r>
    </w:p>
    <w:p>
      <w:pPr>
        <w:pStyle w:val="ListParagraph"/>
        <w:numPr>
          <w:ilvl w:val="0"/>
          <w:numId w:val="2"/>
        </w:numPr>
        <w:spacing w:after="120"/>
      </w:pPr>
      <w:r>
        <w:rPr>
          <w:rFonts w:ascii="Helvetica Neue" w:cs="Helvetica Neue" w:eastAsia="Helvetica Neue" w:hAnsi="Helvetica Neue"/>
          <w:color w:val="333333"/>
          <w:sz w:val="22"/>
          <w:szCs w:val="22"/>
        </w:rPr>
        <w:t xml:space="preserve">Visa and immigration matters</w:t>
      </w:r>
    </w:p>
    <w:p>
      <w:pPr>
        <w:sectPr>
          <w:pgSz w:w="12240" w:h="15840" w:orient="portrait"/>
          <w:pgMar w:top="1440" w:right="1440" w:bottom="1440" w:left="1440" w:header="708" w:footer="708" w:gutter="0"/>
          <w:pgNumType/>
          <w:docGrid w:linePitch="360"/>
        </w:sectPr>
      </w:pPr>
    </w:p>
    <w:p>
      <w:pPr>
        <w:pStyle w:val="Heading1"/>
        <w:spacing w:before="400" w:after="200"/>
      </w:pPr>
      <w:r>
        <w:rPr>
          <w:rFonts w:ascii="Helvetica Neue" w:cs="Helvetica Neue" w:eastAsia="Helvetica Neue" w:hAnsi="Helvetica Neue"/>
          <w:b/>
          <w:bCs/>
          <w:color w:val="1A1A2E"/>
          <w:sz w:val="36"/>
          <w:szCs w:val="36"/>
        </w:rPr>
        <w:t xml:space="preserve">Pricing</w:t>
      </w:r>
    </w:p>
    <w:p>
      <w:pPr>
        <w:spacing w:after="200"/>
      </w:pPr>
      <w:r>
        <w:rPr>
          <w:rFonts w:ascii="Helvetica Neue" w:cs="Helvetica Neue" w:eastAsia="Helvetica Neue" w:hAnsi="Helvetica Neue"/>
          <w:color w:val="333333"/>
          <w:sz w:val="22"/>
          <w:szCs w:val="22"/>
        </w:rPr>
        <w:t xml:space="preserve">Chillin is positioned as a premium service for people who value their time. We launch at higher price points that reflect the genuine human advocacy and regulatory expertise involved, with the intention of broadening access as AI automation improves unit economics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0D0D0" w:sz="1"/>
              <w:left w:val="single" w:color="D0D0D0" w:sz="1"/>
              <w:bottom w:val="single" w:color="D0D0D0" w:sz="1"/>
              <w:right w:val="single" w:color="D0D0D0" w:sz="1"/>
            </w:tcBorders>
            <w:shd w:fill="1A1A2E" w:val="clear"/>
            <w:tcMar>
              <w:top w:type="dxa" w:w="100"/>
              <w:left w:type="dxa" w:w="150"/>
              <w:bottom w:type="dxa" w:w="100"/>
              <w:right w:type="dxa" w:w="150"/>
            </w:tcMar>
          </w:tcPr>
          <w:p>
            <w:r>
              <w:rPr>
                <w:rFonts w:ascii="Helvetica Neue" w:cs="Helvetica Neue" w:eastAsia="Helvetica Neue" w:hAnsi="Helvetica Neue"/>
                <w:b/>
                <w:bCs/>
                <w:color w:val="FFFFFF"/>
                <w:sz w:val="20"/>
                <w:szCs w:val="20"/>
              </w:rPr>
              <w:t xml:space="preserve">Plan</w:t>
            </w:r>
          </w:p>
        </w:tc>
        <w:tc>
          <w:tcPr>
            <w:tcW w:type="dxa" w:w="2340"/>
            <w:tcBorders>
              <w:top w:val="single" w:color="D0D0D0" w:sz="1"/>
              <w:left w:val="single" w:color="D0D0D0" w:sz="1"/>
              <w:bottom w:val="single" w:color="D0D0D0" w:sz="1"/>
              <w:right w:val="single" w:color="D0D0D0" w:sz="1"/>
            </w:tcBorders>
            <w:shd w:fill="1A1A2E" w:val="clear"/>
            <w:tcMar>
              <w:top w:type="dxa" w:w="100"/>
              <w:left w:type="dxa" w:w="150"/>
              <w:bottom w:type="dxa" w:w="100"/>
              <w:right w:type="dxa" w:w="150"/>
            </w:tcMar>
          </w:tcPr>
          <w:p>
            <w:r>
              <w:rPr>
                <w:rFonts w:ascii="Helvetica Neue" w:cs="Helvetica Neue" w:eastAsia="Helvetica Neue" w:hAnsi="Helvetica Neue"/>
                <w:b/>
                <w:bCs/>
                <w:color w:val="FFFFFF"/>
                <w:sz w:val="20"/>
                <w:szCs w:val="20"/>
              </w:rPr>
              <w:t xml:space="preserve">Monthly Price</w:t>
            </w:r>
          </w:p>
        </w:tc>
        <w:tc>
          <w:tcPr>
            <w:tcW w:type="dxa" w:w="4680"/>
            <w:tcBorders>
              <w:top w:val="single" w:color="D0D0D0" w:sz="1"/>
              <w:left w:val="single" w:color="D0D0D0" w:sz="1"/>
              <w:bottom w:val="single" w:color="D0D0D0" w:sz="1"/>
              <w:right w:val="single" w:color="D0D0D0" w:sz="1"/>
            </w:tcBorders>
            <w:shd w:fill="1A1A2E" w:val="clear"/>
            <w:tcMar>
              <w:top w:type="dxa" w:w="100"/>
              <w:left w:type="dxa" w:w="150"/>
              <w:bottom w:type="dxa" w:w="100"/>
              <w:right w:type="dxa" w:w="150"/>
            </w:tcMar>
          </w:tcPr>
          <w:p>
            <w:r>
              <w:rPr>
                <w:rFonts w:ascii="Helvetica Neue" w:cs="Helvetica Neue" w:eastAsia="Helvetica Neue" w:hAnsi="Helvetica Neue"/>
                <w:b/>
                <w:bCs/>
                <w:color w:val="FFFFFF"/>
                <w:sz w:val="20"/>
                <w:szCs w:val="20"/>
              </w:rPr>
              <w:t xml:space="preserve">What You Get</w:t>
            </w:r>
          </w:p>
        </w:tc>
      </w:tr>
      <w:tr>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Member</w:t>
            </w:r>
          </w:p>
        </w:tc>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£49/month</w:t>
            </w:r>
          </w:p>
        </w:tc>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Up to 3 issues per month, full app access, company benchmarks, consumer rights guides</w:t>
            </w:r>
          </w:p>
        </w:tc>
      </w:tr>
      <w:tr>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Premium</w:t>
            </w:r>
          </w:p>
        </w:tc>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£99/month</w:t>
            </w:r>
          </w:p>
        </w:tc>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Unlimited issues, priority concierge queue, proactive issue monitoring, Hold-for-Me on all Tier 2 cases</w:t>
            </w:r>
          </w:p>
        </w:tc>
      </w:tr>
      <w:tr>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Household</w:t>
            </w:r>
          </w:p>
        </w:tc>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£149/month</w:t>
            </w:r>
          </w:p>
        </w:tc>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Up to 4 members, unlimited issues each, shared dashboard, dedicated concierge assignment</w:t>
            </w:r>
          </w:p>
        </w:tc>
      </w:tr>
    </w:tbl>
    <w:p>
      <w:pPr>
        <w:spacing w:after="200"/>
      </w:pPr>
      <w:r>
        <w:rPr>
          <w:rFonts w:ascii="Helvetica Neue" w:cs="Helvetica Neue" w:eastAsia="Helvetica Neue" w:hAnsi="Helvetica Neue"/>
          <w:color w:val="333333"/>
          <w:sz w:val="22"/>
          <w:szCs w:val="22"/>
        </w:rPr>
        <w:t xml:space="preserve"/>
      </w:r>
    </w:p>
    <w:p>
      <w:pPr>
        <w:spacing w:after="200"/>
      </w:pPr>
      <w:r>
        <w:rPr>
          <w:rFonts w:ascii="Helvetica Neue" w:cs="Helvetica Neue" w:eastAsia="Helvetica Neue" w:hAnsi="Helvetica Neue"/>
          <w:color w:val="333333"/>
          <w:sz w:val="22"/>
          <w:szCs w:val="22"/>
        </w:rPr>
        <w:t xml:space="preserve">Founding members receive a locked-in rate of 50% off for life. This creates urgency and funds the early unit economics while we build the resolution dataset.</w:t>
      </w:r>
    </w:p>
    <w:p>
      <w:pPr>
        <w:pStyle w:val="Heading2"/>
        <w:spacing w:before="300" w:after="150"/>
      </w:pPr>
      <w:r>
        <w:rPr>
          <w:rFonts w:ascii="Helvetica Neue" w:cs="Helvetica Neue" w:eastAsia="Helvetica Neue" w:hAnsi="Helvetica Neue"/>
          <w:b/>
          <w:bCs/>
          <w:color w:val="1A1A2E"/>
          <w:sz w:val="28"/>
          <w:szCs w:val="28"/>
        </w:rPr>
        <w:t xml:space="preserve">Why Premium-First</w:t>
      </w:r>
    </w:p>
    <w:p>
      <w:pPr>
        <w:pStyle w:val="ListParagraph"/>
        <w:numPr>
          <w:ilvl w:val="0"/>
          <w:numId w:val="2"/>
        </w:numPr>
        <w:spacing w:after="120"/>
      </w:pPr>
      <w:r>
        <w:rPr>
          <w:rFonts w:ascii="Helvetica Neue" w:cs="Helvetica Neue" w:eastAsia="Helvetica Neue" w:hAnsi="Helvetica Neue"/>
          <w:color w:val="333333"/>
          <w:sz w:val="22"/>
          <w:szCs w:val="22"/>
        </w:rPr>
        <w:t xml:space="preserve">At £49–149/month, we attract time-rich, issue-heavy customers who generate the most training data</w:t>
      </w:r>
    </w:p>
    <w:p>
      <w:pPr>
        <w:pStyle w:val="ListParagraph"/>
        <w:numPr>
          <w:ilvl w:val="0"/>
          <w:numId w:val="2"/>
        </w:numPr>
        <w:spacing w:after="120"/>
      </w:pPr>
      <w:r>
        <w:rPr>
          <w:rFonts w:ascii="Helvetica Neue" w:cs="Helvetica Neue" w:eastAsia="Helvetica Neue" w:hAnsi="Helvetica Neue"/>
          <w:color w:val="333333"/>
          <w:sz w:val="22"/>
          <w:szCs w:val="22"/>
        </w:rPr>
        <w:t xml:space="preserve">Higher ARPU funds human concierges profitably from day one — no need to chase AI cost savings before launch</w:t>
      </w:r>
    </w:p>
    <w:p>
      <w:pPr>
        <w:pStyle w:val="ListParagraph"/>
        <w:numPr>
          <w:ilvl w:val="0"/>
          <w:numId w:val="2"/>
        </w:numPr>
        <w:spacing w:after="120"/>
      </w:pPr>
      <w:r>
        <w:rPr>
          <w:rFonts w:ascii="Helvetica Neue" w:cs="Helvetica Neue" w:eastAsia="Helvetica Neue" w:hAnsi="Helvetica Neue"/>
          <w:color w:val="333333"/>
          <w:sz w:val="22"/>
          <w:szCs w:val="22"/>
        </w:rPr>
        <w:t xml:space="preserve">Premium positioning signals trust and quality; price reduction over time creates a natural growth curve</w:t>
      </w:r>
    </w:p>
    <w:p>
      <w:pPr>
        <w:pStyle w:val="ListParagraph"/>
        <w:numPr>
          <w:ilvl w:val="0"/>
          <w:numId w:val="2"/>
        </w:numPr>
        <w:spacing w:after="120"/>
      </w:pPr>
      <w:r>
        <w:rPr>
          <w:rFonts w:ascii="Helvetica Neue" w:cs="Helvetica Neue" w:eastAsia="Helvetica Neue" w:hAnsi="Helvetica Neue"/>
          <w:color w:val="333333"/>
          <w:sz w:val="22"/>
          <w:szCs w:val="22"/>
        </w:rPr>
        <w:t xml:space="preserve">The Numan model: launch at premium, prove the experience, expand access as costs drop</w:t>
      </w:r>
    </w:p>
    <w:p>
      <w:pPr>
        <w:pStyle w:val="Heading1"/>
        <w:spacing w:before="400" w:after="200"/>
      </w:pPr>
      <w:r>
        <w:rPr>
          <w:rFonts w:ascii="Helvetica Neue" w:cs="Helvetica Neue" w:eastAsia="Helvetica Neue" w:hAnsi="Helvetica Neue"/>
          <w:b/>
          <w:bCs/>
          <w:color w:val="1A1A2E"/>
          <w:sz w:val="36"/>
          <w:szCs w:val="36"/>
        </w:rPr>
        <w:t xml:space="preserve">Business Model &amp; Unit Economics</w:t>
      </w:r>
    </w:p>
    <w:p>
      <w:pPr>
        <w:pStyle w:val="Heading2"/>
        <w:spacing w:before="300" w:after="150"/>
      </w:pPr>
      <w:r>
        <w:rPr>
          <w:rFonts w:ascii="Helvetica Neue" w:cs="Helvetica Neue" w:eastAsia="Helvetica Neue" w:hAnsi="Helvetica Neue"/>
          <w:b/>
          <w:bCs/>
          <w:color w:val="1A1A2E"/>
          <w:sz w:val="28"/>
          <w:szCs w:val="28"/>
        </w:rPr>
        <w:t xml:space="preserve">Revenue Streams</w:t>
      </w:r>
    </w:p>
    <w:p>
      <w:pPr>
        <w:spacing w:after="200"/>
      </w:pPr>
      <w:r>
        <w:rPr>
          <w:rFonts w:ascii="Helvetica Neue" w:cs="Helvetica Neue" w:eastAsia="Helvetica Neue" w:hAnsi="Helvetica Neue"/>
          <w:b/>
          <w:bCs/>
          <w:color w:val="1A1A2E"/>
          <w:sz w:val="22"/>
          <w:szCs w:val="22"/>
        </w:rPr>
        <w:t xml:space="preserve">Primary: </w:t>
      </w:r>
      <w:r>
        <w:rPr>
          <w:rFonts w:ascii="Helvetica Neue" w:cs="Helvetica Neue" w:eastAsia="Helvetica Neue" w:hAnsi="Helvetica Neue"/>
          <w:color w:val="333333"/>
          <w:sz w:val="22"/>
          <w:szCs w:val="22"/>
        </w:rPr>
        <w:t xml:space="preserve">Consumer subscriptions (B2C). Recurring monthly revenue with strong retention driven by ongoing need and the high switching cost of re-authorising with a new provider.</w:t>
      </w:r>
    </w:p>
    <w:p>
      <w:pPr>
        <w:spacing w:after="200"/>
      </w:pPr>
      <w:r>
        <w:rPr>
          <w:rFonts w:ascii="Helvetica Neue" w:cs="Helvetica Neue" w:eastAsia="Helvetica Neue" w:hAnsi="Helvetica Neue"/>
          <w:b/>
          <w:bCs/>
          <w:color w:val="1A1A2E"/>
          <w:sz w:val="22"/>
          <w:szCs w:val="22"/>
        </w:rPr>
        <w:t xml:space="preserve">Secondary (Year 2+): </w:t>
      </w:r>
      <w:r>
        <w:rPr>
          <w:rFonts w:ascii="Helvetica Neue" w:cs="Helvetica Neue" w:eastAsia="Helvetica Neue" w:hAnsi="Helvetica Neue"/>
          <w:color w:val="333333"/>
          <w:sz w:val="22"/>
          <w:szCs w:val="22"/>
        </w:rPr>
        <w:t xml:space="preserve">Brand partnerships. Companies pay for “Verified Partner” status, offering priority support lanes to Chillin members. Brands get better CSAT scores; members get faster resolution.</w:t>
      </w:r>
    </w:p>
    <w:p>
      <w:pPr>
        <w:spacing w:after="200"/>
      </w:pPr>
      <w:r>
        <w:rPr>
          <w:rFonts w:ascii="Helvetica Neue" w:cs="Helvetica Neue" w:eastAsia="Helvetica Neue" w:hAnsi="Helvetica Neue"/>
          <w:b/>
          <w:bCs/>
          <w:color w:val="1A1A2E"/>
          <w:sz w:val="22"/>
          <w:szCs w:val="22"/>
        </w:rPr>
        <w:t xml:space="preserve">Tertiary: </w:t>
      </w:r>
      <w:r>
        <w:rPr>
          <w:rFonts w:ascii="Helvetica Neue" w:cs="Helvetica Neue" w:eastAsia="Helvetica Neue" w:hAnsi="Helvetica Neue"/>
          <w:color w:val="333333"/>
          <w:sz w:val="22"/>
          <w:szCs w:val="22"/>
        </w:rPr>
        <w:t xml:space="preserve">Financial recovery fees. For high-value compensation claims (flight delays, overcharges, mis-selling), Chillin charges a success fee on top of subscription. No win, no fee.</w:t>
      </w:r>
    </w:p>
    <w:p>
      <w:pPr>
        <w:spacing w:after="200"/>
      </w:pPr>
      <w:r>
        <w:rPr>
          <w:rFonts w:ascii="Helvetica Neue" w:cs="Helvetica Neue" w:eastAsia="Helvetica Neue" w:hAnsi="Helvetica Neue"/>
          <w:b/>
          <w:bCs/>
          <w:color w:val="1A1A2E"/>
          <w:sz w:val="22"/>
          <w:szCs w:val="22"/>
        </w:rPr>
        <w:t xml:space="preserve">Data licensing: </w:t>
      </w:r>
      <w:r>
        <w:rPr>
          <w:rFonts w:ascii="Helvetica Neue" w:cs="Helvetica Neue" w:eastAsia="Helvetica Neue" w:hAnsi="Helvetica Neue"/>
          <w:color w:val="333333"/>
          <w:sz w:val="22"/>
          <w:szCs w:val="22"/>
        </w:rPr>
        <w:t xml:space="preserve">Aggregated, anonymised resolution benchmarks sold to consumer rights organisations, regulators, and industry analysts.</w:t>
      </w:r>
    </w:p>
    <w:p>
      <w:pPr>
        <w:pStyle w:val="Heading2"/>
        <w:spacing w:before="300" w:after="150"/>
      </w:pPr>
      <w:r>
        <w:rPr>
          <w:rFonts w:ascii="Helvetica Neue" w:cs="Helvetica Neue" w:eastAsia="Helvetica Neue" w:hAnsi="Helvetica Neue"/>
          <w:b/>
          <w:bCs/>
          <w:color w:val="1A1A2E"/>
          <w:sz w:val="28"/>
          <w:szCs w:val="28"/>
        </w:rPr>
        <w:t xml:space="preserve">Unit Economics (Target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A1A2E" w:val="clear"/>
            <w:tcMar>
              <w:top w:type="dxa" w:w="100"/>
              <w:left w:type="dxa" w:w="150"/>
              <w:bottom w:type="dxa" w:w="100"/>
              <w:right w:type="dxa" w:w="150"/>
            </w:tcMar>
          </w:tcPr>
          <w:p>
            <w:r>
              <w:rPr>
                <w:rFonts w:ascii="Helvetica Neue" w:cs="Helvetica Neue" w:eastAsia="Helvetica Neue" w:hAnsi="Helvetica Neue"/>
                <w:b/>
                <w:bCs/>
                <w:color w:val="FFFFFF"/>
                <w:sz w:val="20"/>
                <w:szCs w:val="20"/>
              </w:rPr>
              <w:t xml:space="preserve">Metric</w:t>
            </w:r>
          </w:p>
        </w:tc>
        <w:tc>
          <w:tcPr>
            <w:tcW w:type="dxa" w:w="4680"/>
            <w:tcBorders>
              <w:top w:val="single" w:color="D0D0D0" w:sz="1"/>
              <w:left w:val="single" w:color="D0D0D0" w:sz="1"/>
              <w:bottom w:val="single" w:color="D0D0D0" w:sz="1"/>
              <w:right w:val="single" w:color="D0D0D0" w:sz="1"/>
            </w:tcBorders>
            <w:shd w:fill="1A1A2E" w:val="clear"/>
            <w:tcMar>
              <w:top w:type="dxa" w:w="100"/>
              <w:left w:type="dxa" w:w="150"/>
              <w:bottom w:type="dxa" w:w="100"/>
              <w:right w:type="dxa" w:w="150"/>
            </w:tcMar>
          </w:tcPr>
          <w:p>
            <w:r>
              <w:rPr>
                <w:rFonts w:ascii="Helvetica Neue" w:cs="Helvetica Neue" w:eastAsia="Helvetica Neue" w:hAnsi="Helvetica Neue"/>
                <w:b/>
                <w:bCs/>
                <w:color w:val="FFFFFF"/>
                <w:sz w:val="20"/>
                <w:szCs w:val="20"/>
              </w:rPr>
              <w:t xml:space="preserve">Target</w:t>
            </w:r>
          </w:p>
        </w:tc>
      </w:tr>
      <w:tr>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Average Revenue Per User (ARPU)</w:t>
            </w:r>
          </w:p>
        </w:tc>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£78/month</w:t>
            </w:r>
          </w:p>
        </w:tc>
      </w:tr>
      <w:tr>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Average Issues Per Member Per Month</w:t>
            </w:r>
          </w:p>
        </w:tc>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1.8</w:t>
            </w:r>
          </w:p>
        </w:tc>
      </w:tr>
      <w:tr>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Cost Per Resolution (blended)</w:t>
            </w:r>
          </w:p>
        </w:tc>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£12–18</w:t>
            </w:r>
          </w:p>
        </w:tc>
      </w:tr>
      <w:tr>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Concierge Utilisation</w:t>
            </w:r>
          </w:p>
        </w:tc>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10–12 resolutions/day</w:t>
            </w:r>
          </w:p>
        </w:tc>
      </w:tr>
      <w:tr>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Gross Margin</w:t>
            </w:r>
          </w:p>
        </w:tc>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60–70%</w:t>
            </w:r>
          </w:p>
        </w:tc>
      </w:tr>
      <w:tr>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Target Churn</w:t>
            </w:r>
          </w:p>
        </w:tc>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&lt;5% monthly</w:t>
            </w:r>
          </w:p>
        </w:tc>
      </w:tr>
      <w:tr>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LTV:CAC Ratio</w:t>
            </w:r>
          </w:p>
        </w:tc>
        <w:tc>
          <w:tcPr>
            <w:tcW w:type="dxa" w:w="468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&gt;4:1</w:t>
            </w:r>
          </w:p>
        </w:tc>
      </w:tr>
    </w:tbl>
    <w:p>
      <w:pPr>
        <w:spacing w:after="200"/>
      </w:pPr>
      <w:r>
        <w:rPr>
          <w:rFonts w:ascii="Helvetica Neue" w:cs="Helvetica Neue" w:eastAsia="Helvetica Neue" w:hAnsi="Helvetica Neue"/>
          <w:color w:val="333333"/>
          <w:sz w:val="22"/>
          <w:szCs w:val="22"/>
        </w:rPr>
        <w:t xml:space="preserve"/>
      </w:r>
    </w:p>
    <w:p>
      <w:pPr>
        <w:spacing w:after="200"/>
      </w:pPr>
      <w:r>
        <w:rPr>
          <w:rFonts w:ascii="Helvetica Neue" w:cs="Helvetica Neue" w:eastAsia="Helvetica Neue" w:hAnsi="Helvetica Neue"/>
          <w:color w:val="333333"/>
          <w:sz w:val="22"/>
          <w:szCs w:val="22"/>
        </w:rPr>
        <w:t xml:space="preserve">AI augmentation is the margin lever. As our AI handles more of the triage, hold navigation, drafting, and status updates, human concierges focus on high-judgement negotiation and escalation — reducing cost per resolution over time while maintaining service quality. Premium pricing means we are profitable per-member from month one.</w:t>
      </w:r>
    </w:p>
    <w:p>
      <w:pPr>
        <w:sectPr>
          <w:pgSz w:w="12240" w:h="15840" w:orient="portrait"/>
          <w:pgMar w:top="1440" w:right="1440" w:bottom="1440" w:left="1440" w:header="708" w:footer="708" w:gutter="0"/>
          <w:pgNumType/>
          <w:docGrid w:linePitch="360"/>
        </w:sectPr>
      </w:pPr>
    </w:p>
    <w:p>
      <w:pPr>
        <w:pStyle w:val="Heading1"/>
        <w:spacing w:before="400" w:after="200"/>
      </w:pPr>
      <w:r>
        <w:rPr>
          <w:rFonts w:ascii="Helvetica Neue" w:cs="Helvetica Neue" w:eastAsia="Helvetica Neue" w:hAnsi="Helvetica Neue"/>
          <w:b/>
          <w:bCs/>
          <w:color w:val="1A1A2E"/>
          <w:sz w:val="36"/>
          <w:szCs w:val="36"/>
        </w:rPr>
        <w:t xml:space="preserve">The Data Moat</w:t>
      </w:r>
    </w:p>
    <w:p>
      <w:pPr>
        <w:spacing w:after="200"/>
      </w:pPr>
      <w:r>
        <w:rPr>
          <w:rFonts w:ascii="Helvetica Neue" w:cs="Helvetica Neue" w:eastAsia="Helvetica Neue" w:hAnsi="Helvetica Neue"/>
          <w:color w:val="333333"/>
          <w:sz w:val="22"/>
          <w:szCs w:val="22"/>
        </w:rPr>
        <w:t xml:space="preserve">Every resolved case feeds a proprietary dataset that compounds over time and becomes increasingly defensible:</w:t>
      </w:r>
    </w:p>
    <w:p>
      <w:pPr>
        <w:pStyle w:val="ListParagraph"/>
        <w:numPr>
          <w:ilvl w:val="0"/>
          <w:numId w:val="2"/>
        </w:numPr>
        <w:spacing w:after="120"/>
      </w:pPr>
      <w:r>
        <w:rPr>
          <w:rFonts w:ascii="Helvetica Neue" w:cs="Helvetica Neue" w:eastAsia="Helvetica Neue" w:hAnsi="Helvetica Neue"/>
          <w:color w:val="333333"/>
          <w:sz w:val="22"/>
          <w:szCs w:val="22"/>
        </w:rPr>
        <w:t xml:space="preserve">Resolution rates by company, issue type, and contact method</w:t>
      </w:r>
    </w:p>
    <w:p>
      <w:pPr>
        <w:pStyle w:val="ListParagraph"/>
        <w:numPr>
          <w:ilvl w:val="0"/>
          <w:numId w:val="2"/>
        </w:numPr>
        <w:spacing w:after="120"/>
      </w:pPr>
      <w:r>
        <w:rPr>
          <w:rFonts w:ascii="Helvetica Neue" w:cs="Helvetica Neue" w:eastAsia="Helvetica Neue" w:hAnsi="Helvetica Neue"/>
          <w:color w:val="333333"/>
          <w:sz w:val="22"/>
          <w:szCs w:val="22"/>
        </w:rPr>
        <w:t xml:space="preserve">Optimal escalation timing (when to push, when to wait)</w:t>
      </w:r>
    </w:p>
    <w:p>
      <w:pPr>
        <w:pStyle w:val="ListParagraph"/>
        <w:numPr>
          <w:ilvl w:val="0"/>
          <w:numId w:val="2"/>
        </w:numPr>
        <w:spacing w:after="120"/>
      </w:pPr>
      <w:r>
        <w:rPr>
          <w:rFonts w:ascii="Helvetica Neue" w:cs="Helvetica Neue" w:eastAsia="Helvetica Neue" w:hAnsi="Helvetica Neue"/>
          <w:color w:val="333333"/>
          <w:sz w:val="22"/>
          <w:szCs w:val="22"/>
        </w:rPr>
        <w:t xml:space="preserve">Successful complaint templates and regulatory paths</w:t>
      </w:r>
    </w:p>
    <w:p>
      <w:pPr>
        <w:pStyle w:val="ListParagraph"/>
        <w:numPr>
          <w:ilvl w:val="0"/>
          <w:numId w:val="2"/>
        </w:numPr>
        <w:spacing w:after="120"/>
      </w:pPr>
      <w:r>
        <w:rPr>
          <w:rFonts w:ascii="Helvetica Neue" w:cs="Helvetica Neue" w:eastAsia="Helvetica Neue" w:hAnsi="Helvetica Neue"/>
          <w:color w:val="333333"/>
          <w:sz w:val="22"/>
          <w:szCs w:val="22"/>
        </w:rPr>
        <w:t xml:space="preserve">Average resolution benchmarks by company (published to members)</w:t>
      </w:r>
    </w:p>
    <w:p>
      <w:pPr>
        <w:pStyle w:val="ListParagraph"/>
        <w:numPr>
          <w:ilvl w:val="0"/>
          <w:numId w:val="2"/>
        </w:numPr>
        <w:spacing w:after="120"/>
      </w:pPr>
      <w:r>
        <w:rPr>
          <w:rFonts w:ascii="Helvetica Neue" w:cs="Helvetica Neue" w:eastAsia="Helvetica Neue" w:hAnsi="Helvetica Neue"/>
          <w:color w:val="333333"/>
          <w:sz w:val="22"/>
          <w:szCs w:val="22"/>
        </w:rPr>
        <w:t xml:space="preserve">Internal support routing intelligence (best numbers, best times, best approaches)</w:t>
      </w:r>
    </w:p>
    <w:p>
      <w:pPr>
        <w:pStyle w:val="ListParagraph"/>
        <w:numPr>
          <w:ilvl w:val="0"/>
          <w:numId w:val="2"/>
        </w:numPr>
        <w:spacing w:after="120"/>
      </w:pPr>
      <w:r>
        <w:rPr>
          <w:rFonts w:ascii="Helvetica Neue" w:cs="Helvetica Neue" w:eastAsia="Helvetica Neue" w:hAnsi="Helvetica Neue"/>
          <w:color w:val="333333"/>
          <w:sz w:val="22"/>
          <w:szCs w:val="22"/>
        </w:rPr>
        <w:t xml:space="preserve">Company-specific authorisation requirements and acceptance patterns</w:t>
      </w:r>
    </w:p>
    <w:p>
      <w:pPr>
        <w:spacing w:after="200"/>
      </w:pPr>
      <w:r>
        <w:rPr>
          <w:rFonts w:ascii="Helvetica Neue" w:cs="Helvetica Neue" w:eastAsia="Helvetica Neue" w:hAnsi="Helvetica Neue"/>
          <w:color w:val="333333"/>
          <w:sz w:val="22"/>
          <w:szCs w:val="22"/>
        </w:rPr>
        <w:t xml:space="preserve">This data makes every subsequent resolution faster and cheaper. A new entrant would need to resolve tens of thousands of cases to replicate what we’ve already learned. The moat deepens with every ticket.</w:t>
      </w:r>
    </w:p>
    <w:p>
      <w:pPr>
        <w:pStyle w:val="Heading1"/>
        <w:spacing w:before="400" w:after="200"/>
      </w:pPr>
      <w:r>
        <w:rPr>
          <w:rFonts w:ascii="Helvetica Neue" w:cs="Helvetica Neue" w:eastAsia="Helvetica Neue" w:hAnsi="Helvetica Neue"/>
          <w:b/>
          <w:bCs/>
          <w:color w:val="1A1A2E"/>
          <w:sz w:val="36"/>
          <w:szCs w:val="36"/>
        </w:rPr>
        <w:t xml:space="preserve">AI Strategy</w:t>
      </w:r>
    </w:p>
    <w:p>
      <w:pPr>
        <w:spacing w:after="200"/>
      </w:pPr>
      <w:r>
        <w:rPr>
          <w:rFonts w:ascii="Helvetica Neue" w:cs="Helvetica Neue" w:eastAsia="Helvetica Neue" w:hAnsi="Helvetica Neue"/>
          <w:color w:val="333333"/>
          <w:sz w:val="22"/>
          <w:szCs w:val="22"/>
        </w:rPr>
        <w:t xml:space="preserve">We are not an AI company. We are a consumer advocacy company that uses AI as an efficiency multiplier. This distinction matters.</w:t>
      </w:r>
    </w:p>
    <w:p>
      <w:pPr>
        <w:pStyle w:val="Heading2"/>
        <w:spacing w:before="300" w:after="150"/>
      </w:pPr>
      <w:r>
        <w:rPr>
          <w:rFonts w:ascii="Helvetica Neue" w:cs="Helvetica Neue" w:eastAsia="Helvetica Neue" w:hAnsi="Helvetica Neue"/>
          <w:b/>
          <w:bCs/>
          <w:color w:val="1A1A2E"/>
          <w:sz w:val="28"/>
          <w:szCs w:val="28"/>
        </w:rPr>
        <w:t xml:space="preserve">Phase 1: AI-Augmented Humans (Now)</w:t>
      </w:r>
    </w:p>
    <w:p>
      <w:pPr>
        <w:pStyle w:val="ListParagraph"/>
        <w:numPr>
          <w:ilvl w:val="0"/>
          <w:numId w:val="2"/>
        </w:numPr>
        <w:spacing w:after="120"/>
      </w:pPr>
      <w:r>
        <w:rPr>
          <w:rFonts w:ascii="Helvetica Neue" w:cs="Helvetica Neue" w:eastAsia="Helvetica Neue" w:hAnsi="Helvetica Neue"/>
          <w:color w:val="333333"/>
          <w:sz w:val="22"/>
          <w:szCs w:val="22"/>
        </w:rPr>
        <w:t xml:space="preserve">AI handles triage, categorisation, and initial research when a member submits an issue</w:t>
      </w:r>
    </w:p>
    <w:p>
      <w:pPr>
        <w:pStyle w:val="ListParagraph"/>
        <w:numPr>
          <w:ilvl w:val="0"/>
          <w:numId w:val="2"/>
        </w:numPr>
        <w:spacing w:after="120"/>
      </w:pPr>
      <w:r>
        <w:rPr>
          <w:rFonts w:ascii="Helvetica Neue" w:cs="Helvetica Neue" w:eastAsia="Helvetica Neue" w:hAnsi="Helvetica Neue"/>
          <w:color w:val="333333"/>
          <w:sz w:val="22"/>
          <w:szCs w:val="22"/>
        </w:rPr>
        <w:t xml:space="preserve">Auto-drafts complaint letters, formal correspondence, and escalation emails</w:t>
      </w:r>
    </w:p>
    <w:p>
      <w:pPr>
        <w:pStyle w:val="ListParagraph"/>
        <w:numPr>
          <w:ilvl w:val="0"/>
          <w:numId w:val="2"/>
        </w:numPr>
        <w:spacing w:after="120"/>
      </w:pPr>
      <w:r>
        <w:rPr>
          <w:rFonts w:ascii="Helvetica Neue" w:cs="Helvetica Neue" w:eastAsia="Helvetica Neue" w:hAnsi="Helvetica Neue"/>
          <w:color w:val="333333"/>
          <w:sz w:val="22"/>
          <w:szCs w:val="22"/>
        </w:rPr>
        <w:t xml:space="preserve">Hold-for-Me: AI dials the number, navigates the IVR tree, waits on hold, and alerts the concierge (or member) only when a live human agent is on the line</w:t>
      </w:r>
    </w:p>
    <w:p>
      <w:pPr>
        <w:pStyle w:val="ListParagraph"/>
        <w:numPr>
          <w:ilvl w:val="0"/>
          <w:numId w:val="2"/>
        </w:numPr>
        <w:spacing w:after="120"/>
      </w:pPr>
      <w:r>
        <w:rPr>
          <w:rFonts w:ascii="Helvetica Neue" w:cs="Helvetica Neue" w:eastAsia="Helvetica Neue" w:hAnsi="Helvetica Neue"/>
          <w:color w:val="333333"/>
          <w:sz w:val="22"/>
          <w:szCs w:val="22"/>
        </w:rPr>
        <w:t xml:space="preserve">Real-time 2FA relay: when a company sends a one-time code, the member receives an instant push notification to tap-and-forward the code back to the concierge — sub-30-second round trip</w:t>
      </w:r>
    </w:p>
    <w:p>
      <w:pPr>
        <w:pStyle w:val="ListParagraph"/>
        <w:numPr>
          <w:ilvl w:val="0"/>
          <w:numId w:val="2"/>
        </w:numPr>
        <w:spacing w:after="120"/>
      </w:pPr>
      <w:r>
        <w:rPr>
          <w:rFonts w:ascii="Helvetica Neue" w:cs="Helvetica Neue" w:eastAsia="Helvetica Neue" w:hAnsi="Helvetica Neue"/>
          <w:color w:val="333333"/>
          <w:sz w:val="22"/>
          <w:szCs w:val="22"/>
        </w:rPr>
        <w:t xml:space="preserve">Updates the member app with status changes automatically</w:t>
      </w:r>
    </w:p>
    <w:p>
      <w:pPr>
        <w:pStyle w:val="ListParagraph"/>
        <w:numPr>
          <w:ilvl w:val="0"/>
          <w:numId w:val="2"/>
        </w:numPr>
        <w:spacing w:after="120"/>
      </w:pPr>
      <w:r>
        <w:rPr>
          <w:rFonts w:ascii="Helvetica Neue" w:cs="Helvetica Neue" w:eastAsia="Helvetica Neue" w:hAnsi="Helvetica Neue"/>
          <w:color w:val="333333"/>
          <w:sz w:val="22"/>
          <w:szCs w:val="22"/>
        </w:rPr>
        <w:t xml:space="preserve">Surfaces relevant playbook data for the concierge in real time</w:t>
      </w:r>
    </w:p>
    <w:p>
      <w:pPr>
        <w:pStyle w:val="Heading2"/>
        <w:spacing w:before="300" w:after="150"/>
      </w:pPr>
      <w:r>
        <w:rPr>
          <w:rFonts w:ascii="Helvetica Neue" w:cs="Helvetica Neue" w:eastAsia="Helvetica Neue" w:hAnsi="Helvetica Neue"/>
          <w:b/>
          <w:bCs/>
          <w:color w:val="1A1A2E"/>
          <w:sz w:val="28"/>
          <w:szCs w:val="28"/>
        </w:rPr>
        <w:t xml:space="preserve">Phase 2: AI-Led, Human-Supervised (12–18 months)</w:t>
      </w:r>
    </w:p>
    <w:p>
      <w:pPr>
        <w:pStyle w:val="ListParagraph"/>
        <w:numPr>
          <w:ilvl w:val="0"/>
          <w:numId w:val="2"/>
        </w:numPr>
        <w:spacing w:after="120"/>
      </w:pPr>
      <w:r>
        <w:rPr>
          <w:rFonts w:ascii="Helvetica Neue" w:cs="Helvetica Neue" w:eastAsia="Helvetica Neue" w:hAnsi="Helvetica Neue"/>
          <w:color w:val="333333"/>
          <w:sz w:val="22"/>
          <w:szCs w:val="22"/>
        </w:rPr>
        <w:t xml:space="preserve">AI autonomously handles simple, high-confidence Tier 1 resolutions (delivery tracking, straightforward refunds, standard cancellations)</w:t>
      </w:r>
    </w:p>
    <w:p>
      <w:pPr>
        <w:pStyle w:val="ListParagraph"/>
        <w:numPr>
          <w:ilvl w:val="0"/>
          <w:numId w:val="2"/>
        </w:numPr>
        <w:spacing w:after="120"/>
      </w:pPr>
      <w:r>
        <w:rPr>
          <w:rFonts w:ascii="Helvetica Neue" w:cs="Helvetica Neue" w:eastAsia="Helvetica Neue" w:hAnsi="Helvetica Neue"/>
          <w:color w:val="333333"/>
          <w:sz w:val="22"/>
          <w:szCs w:val="22"/>
        </w:rPr>
        <w:t xml:space="preserve">Human concierges review and approve AI actions before execution</w:t>
      </w:r>
    </w:p>
    <w:p>
      <w:pPr>
        <w:pStyle w:val="ListParagraph"/>
        <w:numPr>
          <w:ilvl w:val="0"/>
          <w:numId w:val="2"/>
        </w:numPr>
        <w:spacing w:after="120"/>
      </w:pPr>
      <w:r>
        <w:rPr>
          <w:rFonts w:ascii="Helvetica Neue" w:cs="Helvetica Neue" w:eastAsia="Helvetica Neue" w:hAnsi="Helvetica Neue"/>
          <w:color w:val="333333"/>
          <w:sz w:val="22"/>
          <w:szCs w:val="22"/>
        </w:rPr>
        <w:t xml:space="preserve">Members always have the option to escalate to a human at any point</w:t>
      </w:r>
    </w:p>
    <w:p>
      <w:pPr>
        <w:pStyle w:val="Heading2"/>
        <w:spacing w:before="300" w:after="150"/>
      </w:pPr>
      <w:r>
        <w:rPr>
          <w:rFonts w:ascii="Helvetica Neue" w:cs="Helvetica Neue" w:eastAsia="Helvetica Neue" w:hAnsi="Helvetica Neue"/>
          <w:b/>
          <w:bCs/>
          <w:color w:val="1A1A2E"/>
          <w:sz w:val="28"/>
          <w:szCs w:val="28"/>
        </w:rPr>
        <w:t xml:space="preserve">Phase 3: AI Advocacy Agent (24+ months)</w:t>
      </w:r>
    </w:p>
    <w:p>
      <w:pPr>
        <w:pStyle w:val="ListParagraph"/>
        <w:numPr>
          <w:ilvl w:val="0"/>
          <w:numId w:val="2"/>
        </w:numPr>
        <w:spacing w:after="120"/>
      </w:pPr>
      <w:r>
        <w:rPr>
          <w:rFonts w:ascii="Helvetica Neue" w:cs="Helvetica Neue" w:eastAsia="Helvetica Neue" w:hAnsi="Helvetica Neue"/>
          <w:color w:val="333333"/>
          <w:sz w:val="22"/>
          <w:szCs w:val="22"/>
        </w:rPr>
        <w:t xml:space="preserve">Fully autonomous AI agent that contacts companies, navigates support systems, and resolves issues on the member’s behalf</w:t>
      </w:r>
    </w:p>
    <w:p>
      <w:pPr>
        <w:pStyle w:val="ListParagraph"/>
        <w:numPr>
          <w:ilvl w:val="0"/>
          <w:numId w:val="2"/>
        </w:numPr>
        <w:spacing w:after="120"/>
      </w:pPr>
      <w:r>
        <w:rPr>
          <w:rFonts w:ascii="Helvetica Neue" w:cs="Helvetica Neue" w:eastAsia="Helvetica Neue" w:hAnsi="Helvetica Neue"/>
          <w:color w:val="333333"/>
          <w:sz w:val="22"/>
          <w:szCs w:val="22"/>
        </w:rPr>
        <w:t xml:space="preserve">Trained on our proprietary resolution dataset — the only AI built to fight for consumers, not companies</w:t>
      </w:r>
    </w:p>
    <w:p>
      <w:pPr>
        <w:pStyle w:val="ListParagraph"/>
        <w:numPr>
          <w:ilvl w:val="0"/>
          <w:numId w:val="2"/>
        </w:numPr>
        <w:spacing w:after="120"/>
      </w:pPr>
      <w:r>
        <w:rPr>
          <w:rFonts w:ascii="Helvetica Neue" w:cs="Helvetica Neue" w:eastAsia="Helvetica Neue" w:hAnsi="Helvetica Neue"/>
          <w:color w:val="333333"/>
          <w:sz w:val="22"/>
          <w:szCs w:val="22"/>
        </w:rPr>
        <w:t xml:space="preserve">Humans handle complex negotiations, regulatory escalations, and edge cases</w:t>
      </w:r>
    </w:p>
    <w:p>
      <w:pPr>
        <w:spacing w:after="200"/>
      </w:pPr>
      <w:r>
        <w:rPr>
          <w:rFonts w:ascii="Helvetica Neue" w:cs="Helvetica Neue" w:eastAsia="Helvetica Neue" w:hAnsi="Helvetica Neue"/>
          <w:color w:val="333333"/>
          <w:sz w:val="22"/>
          <w:szCs w:val="22"/>
        </w:rPr>
        <w:t xml:space="preserve">The long-term vision: Chillin becomes the world’s first AI that fights companies on your behalf. The human concierge phase is how we build the training data to get there.</w:t>
      </w:r>
    </w:p>
    <w:p>
      <w:pPr>
        <w:sectPr>
          <w:pgSz w:w="12240" w:h="15840" w:orient="portrait"/>
          <w:pgMar w:top="1440" w:right="1440" w:bottom="1440" w:left="1440" w:header="708" w:footer="708" w:gutter="0"/>
          <w:pgNumType/>
          <w:docGrid w:linePitch="360"/>
        </w:sectPr>
      </w:pPr>
    </w:p>
    <w:p>
      <w:pPr>
        <w:pStyle w:val="Heading1"/>
        <w:spacing w:before="400" w:after="200"/>
      </w:pPr>
      <w:r>
        <w:rPr>
          <w:rFonts w:ascii="Helvetica Neue" w:cs="Helvetica Neue" w:eastAsia="Helvetica Neue" w:hAnsi="Helvetica Neue"/>
          <w:b/>
          <w:bCs/>
          <w:color w:val="1A1A2E"/>
          <w:sz w:val="36"/>
          <w:szCs w:val="36"/>
        </w:rPr>
        <w:t xml:space="preserve">Market Opportunity</w:t>
      </w:r>
    </w:p>
    <w:p>
      <w:pPr>
        <w:pStyle w:val="ListParagraph"/>
        <w:numPr>
          <w:ilvl w:val="0"/>
          <w:numId w:val="2"/>
        </w:numPr>
        <w:spacing w:after="120"/>
      </w:pPr>
      <w:r>
        <w:rPr>
          <w:rFonts w:ascii="Helvetica Neue" w:cs="Helvetica Neue" w:eastAsia="Helvetica Neue" w:hAnsi="Helvetica Neue"/>
          <w:color w:val="333333"/>
          <w:sz w:val="22"/>
          <w:szCs w:val="22"/>
        </w:rPr>
        <w:t xml:space="preserve">UK consumer complaints market: 66 million complaints filed annually across regulated industries</w:t>
      </w:r>
    </w:p>
    <w:p>
      <w:pPr>
        <w:pStyle w:val="ListParagraph"/>
        <w:numPr>
          <w:ilvl w:val="0"/>
          <w:numId w:val="2"/>
        </w:numPr>
        <w:spacing w:after="120"/>
      </w:pPr>
      <w:r>
        <w:rPr>
          <w:rFonts w:ascii="Helvetica Neue" w:cs="Helvetica Neue" w:eastAsia="Helvetica Neue" w:hAnsi="Helvetica Neue"/>
          <w:color w:val="333333"/>
          <w:sz w:val="22"/>
          <w:szCs w:val="22"/>
        </w:rPr>
        <w:t xml:space="preserve">Average UK household deals with 5–8 significant support issues per year</w:t>
      </w:r>
    </w:p>
    <w:p>
      <w:pPr>
        <w:pStyle w:val="ListParagraph"/>
        <w:numPr>
          <w:ilvl w:val="0"/>
          <w:numId w:val="2"/>
        </w:numPr>
        <w:spacing w:after="120"/>
      </w:pPr>
      <w:r>
        <w:rPr>
          <w:rFonts w:ascii="Helvetica Neue" w:cs="Helvetica Neue" w:eastAsia="Helvetica Neue" w:hAnsi="Helvetica Neue"/>
          <w:color w:val="333333"/>
          <w:sz w:val="22"/>
          <w:szCs w:val="22"/>
        </w:rPr>
        <w:t xml:space="preserve">Claims management industry (narrow scope, post-incident only): £900M+ annually in the UK</w:t>
      </w:r>
    </w:p>
    <w:p>
      <w:pPr>
        <w:pStyle w:val="ListParagraph"/>
        <w:numPr>
          <w:ilvl w:val="0"/>
          <w:numId w:val="2"/>
        </w:numPr>
        <w:spacing w:after="120"/>
      </w:pPr>
      <w:r>
        <w:rPr>
          <w:rFonts w:ascii="Helvetica Neue" w:cs="Helvetica Neue" w:eastAsia="Helvetica Neue" w:hAnsi="Helvetica Neue"/>
          <w:color w:val="333333"/>
          <w:sz w:val="22"/>
          <w:szCs w:val="22"/>
        </w:rPr>
        <w:t xml:space="preserve">Global customer experience management market: $14.9B (2025), growing at 15.8% CAGR</w:t>
      </w:r>
    </w:p>
    <w:p>
      <w:pPr>
        <w:spacing w:after="200"/>
      </w:pPr>
      <w:r>
        <w:rPr>
          <w:rFonts w:ascii="Helvetica Neue" w:cs="Helvetica Neue" w:eastAsia="Helvetica Neue" w:hAnsi="Helvetica Neue"/>
          <w:color w:val="333333"/>
          <w:sz w:val="22"/>
          <w:szCs w:val="22"/>
        </w:rPr>
        <w:t xml:space="preserve">Chillin captures a horizontal slice across all of these verticals — airlines, banking, insurance, telco, energy, SaaS, e-commerce — in a single subscription.</w:t>
      </w:r>
    </w:p>
    <w:p>
      <w:pPr>
        <w:pStyle w:val="Heading2"/>
        <w:spacing w:before="300" w:after="150"/>
      </w:pPr>
      <w:r>
        <w:rPr>
          <w:rFonts w:ascii="Helvetica Neue" w:cs="Helvetica Neue" w:eastAsia="Helvetica Neue" w:hAnsi="Helvetica Neue"/>
          <w:b/>
          <w:bCs/>
          <w:color w:val="1A1A2E"/>
          <w:sz w:val="28"/>
          <w:szCs w:val="28"/>
        </w:rPr>
        <w:t xml:space="preserve">Target Customers</w:t>
      </w:r>
    </w:p>
    <w:p>
      <w:pPr>
        <w:pStyle w:val="ListParagraph"/>
        <w:numPr>
          <w:ilvl w:val="0"/>
          <w:numId w:val="2"/>
        </w:numPr>
        <w:spacing w:after="120"/>
      </w:pPr>
      <w:r>
        <w:rPr>
          <w:rFonts w:ascii="Helvetica Neue" w:cs="Helvetica Neue" w:eastAsia="Helvetica Neue" w:hAnsi="Helvetica Neue"/>
          <w:color w:val="333333"/>
          <w:sz w:val="22"/>
          <w:szCs w:val="22"/>
        </w:rPr>
        <w:t xml:space="preserve">Time-poor professionals (30–55) who value their time at £100–500+/hour</w:t>
      </w:r>
    </w:p>
    <w:p>
      <w:pPr>
        <w:pStyle w:val="ListParagraph"/>
        <w:numPr>
          <w:ilvl w:val="0"/>
          <w:numId w:val="2"/>
        </w:numPr>
        <w:spacing w:after="120"/>
      </w:pPr>
      <w:r>
        <w:rPr>
          <w:rFonts w:ascii="Helvetica Neue" w:cs="Helvetica Neue" w:eastAsia="Helvetica Neue" w:hAnsi="Helvetica Neue"/>
          <w:color w:val="333333"/>
          <w:sz w:val="22"/>
          <w:szCs w:val="22"/>
        </w:rPr>
        <w:t xml:space="preserve">Frequent travellers dealing with airline and hotel disruptions</w:t>
      </w:r>
    </w:p>
    <w:p>
      <w:pPr>
        <w:pStyle w:val="ListParagraph"/>
        <w:numPr>
          <w:ilvl w:val="0"/>
          <w:numId w:val="2"/>
        </w:numPr>
        <w:spacing w:after="120"/>
      </w:pPr>
      <w:r>
        <w:rPr>
          <w:rFonts w:ascii="Helvetica Neue" w:cs="Helvetica Neue" w:eastAsia="Helvetica Neue" w:hAnsi="Helvetica Neue"/>
          <w:color w:val="333333"/>
          <w:sz w:val="22"/>
          <w:szCs w:val="22"/>
        </w:rPr>
        <w:t xml:space="preserve">Small business owners managing multiple SaaS, banking, and utility providers</w:t>
      </w:r>
    </w:p>
    <w:p>
      <w:pPr>
        <w:pStyle w:val="ListParagraph"/>
        <w:numPr>
          <w:ilvl w:val="0"/>
          <w:numId w:val="2"/>
        </w:numPr>
        <w:spacing w:after="120"/>
      </w:pPr>
      <w:r>
        <w:rPr>
          <w:rFonts w:ascii="Helvetica Neue" w:cs="Helvetica Neue" w:eastAsia="Helvetica Neue" w:hAnsi="Helvetica Neue"/>
          <w:color w:val="333333"/>
          <w:sz w:val="22"/>
          <w:szCs w:val="22"/>
        </w:rPr>
        <w:t xml:space="preserve">Affluent retirees who want premium service without the hassle</w:t>
      </w:r>
    </w:p>
    <w:p>
      <w:pPr>
        <w:pStyle w:val="ListParagraph"/>
        <w:numPr>
          <w:ilvl w:val="0"/>
          <w:numId w:val="2"/>
        </w:numPr>
        <w:spacing w:after="120"/>
      </w:pPr>
      <w:r>
        <w:rPr>
          <w:rFonts w:ascii="Helvetica Neue" w:cs="Helvetica Neue" w:eastAsia="Helvetica Neue" w:hAnsi="Helvetica Neue"/>
          <w:color w:val="333333"/>
          <w:sz w:val="22"/>
          <w:szCs w:val="22"/>
        </w:rPr>
        <w:t xml:space="preserve">Expats navigating cross-border support in unfamiliar systems</w:t>
      </w:r>
    </w:p>
    <w:p>
      <w:pPr>
        <w:pStyle w:val="Heading2"/>
        <w:spacing w:before="300" w:after="150"/>
      </w:pPr>
      <w:r>
        <w:rPr>
          <w:rFonts w:ascii="Helvetica Neue" w:cs="Helvetica Neue" w:eastAsia="Helvetica Neue" w:hAnsi="Helvetica Neue"/>
          <w:b/>
          <w:bCs/>
          <w:color w:val="1A1A2E"/>
          <w:sz w:val="28"/>
          <w:szCs w:val="28"/>
        </w:rPr>
        <w:t xml:space="preserve">Competitive Landscape</w:t>
      </w:r>
    </w:p>
    <w:p>
      <w:pPr>
        <w:spacing w:after="200"/>
      </w:pPr>
      <w:r>
        <w:rPr>
          <w:rFonts w:ascii="Helvetica Neue" w:cs="Helvetica Neue" w:eastAsia="Helvetica Neue" w:hAnsi="Helvetica Neue"/>
          <w:color w:val="333333"/>
          <w:sz w:val="22"/>
          <w:szCs w:val="22"/>
        </w:rPr>
        <w:t xml:space="preserve">No direct competitor owns this space horizontally at scale in the UK or 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0D0D0" w:sz="1"/>
              <w:left w:val="single" w:color="D0D0D0" w:sz="1"/>
              <w:bottom w:val="single" w:color="D0D0D0" w:sz="1"/>
              <w:right w:val="single" w:color="D0D0D0" w:sz="1"/>
            </w:tcBorders>
            <w:shd w:fill="1A1A2E" w:val="clear"/>
            <w:tcMar>
              <w:top w:type="dxa" w:w="100"/>
              <w:left w:type="dxa" w:w="150"/>
              <w:bottom w:type="dxa" w:w="100"/>
              <w:right w:type="dxa" w:w="150"/>
            </w:tcMar>
          </w:tcPr>
          <w:p>
            <w:r>
              <w:rPr>
                <w:rFonts w:ascii="Helvetica Neue" w:cs="Helvetica Neue" w:eastAsia="Helvetica Neue" w:hAnsi="Helvetica Neue"/>
                <w:b/>
                <w:bCs/>
                <w:color w:val="FFFFFF"/>
                <w:sz w:val="20"/>
                <w:szCs w:val="20"/>
              </w:rPr>
              <w:t xml:space="preserve">Competitor</w:t>
            </w:r>
          </w:p>
        </w:tc>
        <w:tc>
          <w:tcPr>
            <w:tcW w:type="dxa" w:w="3510"/>
            <w:tcBorders>
              <w:top w:val="single" w:color="D0D0D0" w:sz="1"/>
              <w:left w:val="single" w:color="D0D0D0" w:sz="1"/>
              <w:bottom w:val="single" w:color="D0D0D0" w:sz="1"/>
              <w:right w:val="single" w:color="D0D0D0" w:sz="1"/>
            </w:tcBorders>
            <w:shd w:fill="1A1A2E" w:val="clear"/>
            <w:tcMar>
              <w:top w:type="dxa" w:w="100"/>
              <w:left w:type="dxa" w:w="150"/>
              <w:bottom w:type="dxa" w:w="100"/>
              <w:right w:type="dxa" w:w="150"/>
            </w:tcMar>
          </w:tcPr>
          <w:p>
            <w:r>
              <w:rPr>
                <w:rFonts w:ascii="Helvetica Neue" w:cs="Helvetica Neue" w:eastAsia="Helvetica Neue" w:hAnsi="Helvetica Neue"/>
                <w:b/>
                <w:bCs/>
                <w:color w:val="FFFFFF"/>
                <w:sz w:val="20"/>
                <w:szCs w:val="20"/>
              </w:rPr>
              <w:t xml:space="preserve">What They Do</w:t>
            </w:r>
          </w:p>
        </w:tc>
        <w:tc>
          <w:tcPr>
            <w:tcW w:type="dxa" w:w="3510"/>
            <w:tcBorders>
              <w:top w:val="single" w:color="D0D0D0" w:sz="1"/>
              <w:left w:val="single" w:color="D0D0D0" w:sz="1"/>
              <w:bottom w:val="single" w:color="D0D0D0" w:sz="1"/>
              <w:right w:val="single" w:color="D0D0D0" w:sz="1"/>
            </w:tcBorders>
            <w:shd w:fill="1A1A2E" w:val="clear"/>
            <w:tcMar>
              <w:top w:type="dxa" w:w="100"/>
              <w:left w:type="dxa" w:w="150"/>
              <w:bottom w:type="dxa" w:w="100"/>
              <w:right w:type="dxa" w:w="150"/>
            </w:tcMar>
          </w:tcPr>
          <w:p>
            <w:r>
              <w:rPr>
                <w:rFonts w:ascii="Helvetica Neue" w:cs="Helvetica Neue" w:eastAsia="Helvetica Neue" w:hAnsi="Helvetica Neue"/>
                <w:b/>
                <w:bCs/>
                <w:color w:val="FFFFFF"/>
                <w:sz w:val="20"/>
                <w:szCs w:val="20"/>
              </w:rPr>
              <w:t xml:space="preserve">Why We’re Different</w:t>
            </w:r>
          </w:p>
        </w:tc>
      </w:tr>
      <w:tr>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Amex Platinum Concierge</w:t>
            </w:r>
          </w:p>
        </w:tc>
        <w:tc>
          <w:tcPr>
            <w:tcW w:type="dxa" w:w="351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Handles requests for Amex cardholders</w:t>
            </w:r>
          </w:p>
        </w:tc>
        <w:tc>
          <w:tcPr>
            <w:tcW w:type="dxa" w:w="351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Limited to Amex ecosystem; we cover everything</w:t>
            </w:r>
          </w:p>
        </w:tc>
      </w:tr>
      <w:tr>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Claims Management Cos</w:t>
            </w:r>
          </w:p>
        </w:tc>
        <w:tc>
          <w:tcPr>
            <w:tcW w:type="dxa" w:w="351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Post-incident claims (PPI, flights)</w:t>
            </w:r>
          </w:p>
        </w:tc>
        <w:tc>
          <w:tcPr>
            <w:tcW w:type="dxa" w:w="351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Reactive &amp; narrow; we’re proactive &amp; horizontal</w:t>
            </w:r>
          </w:p>
        </w:tc>
      </w:tr>
      <w:tr>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Resolver / Complaints tools</w:t>
            </w:r>
          </w:p>
        </w:tc>
        <w:tc>
          <w:tcPr>
            <w:tcW w:type="dxa" w:w="351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DIY complaint letter generators</w:t>
            </w:r>
          </w:p>
        </w:tc>
        <w:tc>
          <w:tcPr>
            <w:tcW w:type="dxa" w:w="351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Self-service; we do the work for you</w:t>
            </w:r>
          </w:p>
        </w:tc>
      </w:tr>
      <w:tr>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DoNotPay</w:t>
            </w:r>
          </w:p>
        </w:tc>
        <w:tc>
          <w:tcPr>
            <w:tcW w:type="dxa" w:w="351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AI lawyer/consumer bot (US)</w:t>
            </w:r>
          </w:p>
        </w:tc>
        <w:tc>
          <w:tcPr>
            <w:tcW w:type="dxa" w:w="351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Over-promised, under-delivered; we use humans + AI</w:t>
            </w:r>
          </w:p>
        </w:tc>
      </w:tr>
      <w:tr>
        <w:tc>
          <w:tcPr>
            <w:tcW w:type="dxa" w:w="234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Numan / Juniper</w:t>
            </w:r>
          </w:p>
        </w:tc>
        <w:tc>
          <w:tcPr>
            <w:tcW w:type="dxa" w:w="351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Regulated health concierge</w:t>
            </w:r>
          </w:p>
        </w:tc>
        <w:tc>
          <w:tcPr>
            <w:tcW w:type="dxa" w:w="3510"/>
            <w:tcBorders>
              <w:top w:val="single" w:color="D0D0D0" w:sz="1"/>
              <w:left w:val="single" w:color="D0D0D0" w:sz="1"/>
              <w:bottom w:val="single" w:color="D0D0D0" w:sz="1"/>
              <w:right w:val="single" w:color="D0D0D0" w:sz="1"/>
            </w:tcBorders>
            <w:tcMar>
              <w:top w:type="dxa" w:w="100"/>
              <w:left w:type="dxa" w:w="150"/>
              <w:bottom w:type="dxa" w:w="100"/>
              <w:right w:type="dxa" w:w="150"/>
            </w:tcMar>
          </w:tcPr>
          <w:p>
            <w:r>
              <w:rPr>
                <w:rFonts w:ascii="Helvetica Neue" w:cs="Helvetica Neue" w:eastAsia="Helvetica Neue" w:hAnsi="Helvetica Neue"/>
                <w:b w:val="false"/>
                <w:bCs w:val="false"/>
                <w:color w:val="333333"/>
                <w:sz w:val="20"/>
                <w:szCs w:val="20"/>
              </w:rPr>
              <w:t xml:space="preserve">Same model, different vertical; validates our approach</w:t>
            </w:r>
          </w:p>
        </w:tc>
      </w:tr>
    </w:tbl>
    <w:p>
      <w:pPr>
        <w:sectPr>
          <w:pgSz w:w="12240" w:h="15840" w:orient="portrait"/>
          <w:pgMar w:top="1440" w:right="1440" w:bottom="1440" w:left="1440" w:header="708" w:footer="708" w:gutter="0"/>
          <w:pgNumType/>
          <w:docGrid w:linePitch="360"/>
        </w:sectPr>
      </w:pPr>
    </w:p>
    <w:p>
      <w:pPr>
        <w:pStyle w:val="Heading1"/>
        <w:spacing w:before="400" w:after="200"/>
      </w:pPr>
      <w:r>
        <w:rPr>
          <w:rFonts w:ascii="Helvetica Neue" w:cs="Helvetica Neue" w:eastAsia="Helvetica Neue" w:hAnsi="Helvetica Neue"/>
          <w:b/>
          <w:bCs/>
          <w:color w:val="1A1A2E"/>
          <w:sz w:val="36"/>
          <w:szCs w:val="36"/>
        </w:rPr>
        <w:t xml:space="preserve">Go-to-Market Strategy</w:t>
      </w:r>
    </w:p>
    <w:p>
      <w:pPr>
        <w:pStyle w:val="Heading2"/>
        <w:spacing w:before="300" w:after="150"/>
      </w:pPr>
      <w:r>
        <w:rPr>
          <w:rFonts w:ascii="Helvetica Neue" w:cs="Helvetica Neue" w:eastAsia="Helvetica Neue" w:hAnsi="Helvetica Neue"/>
          <w:b/>
          <w:bCs/>
          <w:color w:val="1A1A2E"/>
          <w:sz w:val="28"/>
          <w:szCs w:val="28"/>
        </w:rPr>
        <w:t xml:space="preserve">Phase 1: Founding Members (Months 1–3)</w:t>
      </w:r>
    </w:p>
    <w:p>
      <w:pPr>
        <w:pStyle w:val="ListParagraph"/>
        <w:numPr>
          <w:ilvl w:val="0"/>
          <w:numId w:val="2"/>
        </w:numPr>
        <w:spacing w:after="120"/>
      </w:pPr>
      <w:r>
        <w:rPr>
          <w:rFonts w:ascii="Helvetica Neue" w:cs="Helvetica Neue" w:eastAsia="Helvetica Neue" w:hAnsi="Helvetica Neue"/>
          <w:color w:val="333333"/>
          <w:sz w:val="22"/>
          <w:szCs w:val="22"/>
        </w:rPr>
        <w:t xml:space="preserve">250 founding members at 50% locked-in rate (£25–75/month)</w:t>
      </w:r>
    </w:p>
    <w:p>
      <w:pPr>
        <w:pStyle w:val="ListParagraph"/>
        <w:numPr>
          <w:ilvl w:val="0"/>
          <w:numId w:val="2"/>
        </w:numPr>
        <w:spacing w:after="120"/>
      </w:pPr>
      <w:r>
        <w:rPr>
          <w:rFonts w:ascii="Helvetica Neue" w:cs="Helvetica Neue" w:eastAsia="Helvetica Neue" w:hAnsi="Helvetica Neue"/>
          <w:color w:val="333333"/>
          <w:sz w:val="22"/>
          <w:szCs w:val="22"/>
        </w:rPr>
        <w:t xml:space="preserve">Focus on London-based professionals via targeted social, LinkedIn, and partnerships with co-working spaces and members’ clubs</w:t>
      </w:r>
    </w:p>
    <w:p>
      <w:pPr>
        <w:pStyle w:val="ListParagraph"/>
        <w:numPr>
          <w:ilvl w:val="0"/>
          <w:numId w:val="2"/>
        </w:numPr>
        <w:spacing w:after="120"/>
      </w:pPr>
      <w:r>
        <w:rPr>
          <w:rFonts w:ascii="Helvetica Neue" w:cs="Helvetica Neue" w:eastAsia="Helvetica Neue" w:hAnsi="Helvetica Neue"/>
          <w:color w:val="333333"/>
          <w:sz w:val="22"/>
          <w:szCs w:val="22"/>
        </w:rPr>
        <w:t xml:space="preserve">Limit to top 30 companies (airlines, banks, telcos, energy) to build core playbooks and authority frameworks</w:t>
      </w:r>
    </w:p>
    <w:p>
      <w:pPr>
        <w:pStyle w:val="ListParagraph"/>
        <w:numPr>
          <w:ilvl w:val="0"/>
          <w:numId w:val="2"/>
        </w:numPr>
        <w:spacing w:after="120"/>
      </w:pPr>
      <w:r>
        <w:rPr>
          <w:rFonts w:ascii="Helvetica Neue" w:cs="Helvetica Neue" w:eastAsia="Helvetica Neue" w:hAnsi="Helvetica Neue"/>
          <w:color w:val="333333"/>
          <w:sz w:val="22"/>
          <w:szCs w:val="22"/>
        </w:rPr>
        <w:t xml:space="preserve">Obsess over NPS and case studies; collect testimonials and resolution stories</w:t>
      </w:r>
    </w:p>
    <w:p>
      <w:pPr>
        <w:pStyle w:val="Heading2"/>
        <w:spacing w:before="300" w:after="150"/>
      </w:pPr>
      <w:r>
        <w:rPr>
          <w:rFonts w:ascii="Helvetica Neue" w:cs="Helvetica Neue" w:eastAsia="Helvetica Neue" w:hAnsi="Helvetica Neue"/>
          <w:b/>
          <w:bCs/>
          <w:color w:val="1A1A2E"/>
          <w:sz w:val="28"/>
          <w:szCs w:val="28"/>
        </w:rPr>
        <w:t xml:space="preserve">Phase 2: UK Launch (Months 4–12)</w:t>
      </w:r>
    </w:p>
    <w:p>
      <w:pPr>
        <w:pStyle w:val="ListParagraph"/>
        <w:numPr>
          <w:ilvl w:val="0"/>
          <w:numId w:val="2"/>
        </w:numPr>
        <w:spacing w:after="120"/>
      </w:pPr>
      <w:r>
        <w:rPr>
          <w:rFonts w:ascii="Helvetica Neue" w:cs="Helvetica Neue" w:eastAsia="Helvetica Neue" w:hAnsi="Helvetica Neue"/>
          <w:color w:val="333333"/>
          <w:sz w:val="22"/>
          <w:szCs w:val="22"/>
        </w:rPr>
        <w:t xml:space="preserve">Full pricing tiers live; expand company coverage to 200+</w:t>
      </w:r>
    </w:p>
    <w:p>
      <w:pPr>
        <w:pStyle w:val="ListParagraph"/>
        <w:numPr>
          <w:ilvl w:val="0"/>
          <w:numId w:val="2"/>
        </w:numPr>
        <w:spacing w:after="120"/>
      </w:pPr>
      <w:r>
        <w:rPr>
          <w:rFonts w:ascii="Helvetica Neue" w:cs="Helvetica Neue" w:eastAsia="Helvetica Neue" w:hAnsi="Helvetica Neue"/>
          <w:color w:val="333333"/>
          <w:sz w:val="22"/>
          <w:szCs w:val="22"/>
        </w:rPr>
        <w:t xml:space="preserve">Content marketing: publish company resolution benchmarks publicly (generates organic traffic and press)</w:t>
      </w:r>
    </w:p>
    <w:p>
      <w:pPr>
        <w:pStyle w:val="ListParagraph"/>
        <w:numPr>
          <w:ilvl w:val="0"/>
          <w:numId w:val="2"/>
        </w:numPr>
        <w:spacing w:after="120"/>
      </w:pPr>
      <w:r>
        <w:rPr>
          <w:rFonts w:ascii="Helvetica Neue" w:cs="Helvetica Neue" w:eastAsia="Helvetica Neue" w:hAnsi="Helvetica Neue"/>
          <w:color w:val="333333"/>
          <w:sz w:val="22"/>
          <w:szCs w:val="22"/>
        </w:rPr>
        <w:t xml:space="preserve">Referral programme: give a month free for each successful referral</w:t>
      </w:r>
    </w:p>
    <w:p>
      <w:pPr>
        <w:pStyle w:val="ListParagraph"/>
        <w:numPr>
          <w:ilvl w:val="0"/>
          <w:numId w:val="2"/>
        </w:numPr>
        <w:spacing w:after="120"/>
      </w:pPr>
      <w:r>
        <w:rPr>
          <w:rFonts w:ascii="Helvetica Neue" w:cs="Helvetica Neue" w:eastAsia="Helvetica Neue" w:hAnsi="Helvetica Neue"/>
          <w:color w:val="333333"/>
          <w:sz w:val="22"/>
          <w:szCs w:val="22"/>
        </w:rPr>
        <w:t xml:space="preserve">Partnerships with consumer finance influencers and Martin Lewis-style platforms</w:t>
      </w:r>
    </w:p>
    <w:p>
      <w:pPr>
        <w:pStyle w:val="ListParagraph"/>
        <w:numPr>
          <w:ilvl w:val="0"/>
          <w:numId w:val="2"/>
        </w:numPr>
        <w:spacing w:after="120"/>
      </w:pPr>
      <w:r>
        <w:rPr>
          <w:rFonts w:ascii="Helvetica Neue" w:cs="Helvetica Neue" w:eastAsia="Helvetica Neue" w:hAnsi="Helvetica Neue"/>
          <w:color w:val="333333"/>
          <w:sz w:val="22"/>
          <w:szCs w:val="22"/>
        </w:rPr>
        <w:t xml:space="preserve">Apply for FCA CMC authorisation to unlock financial recovery fee revenue</w:t>
      </w:r>
    </w:p>
    <w:p>
      <w:pPr>
        <w:pStyle w:val="Heading2"/>
        <w:spacing w:before="300" w:after="150"/>
      </w:pPr>
      <w:r>
        <w:rPr>
          <w:rFonts w:ascii="Helvetica Neue" w:cs="Helvetica Neue" w:eastAsia="Helvetica Neue" w:hAnsi="Helvetica Neue"/>
          <w:b/>
          <w:bCs/>
          <w:color w:val="1A1A2E"/>
          <w:sz w:val="28"/>
          <w:szCs w:val="28"/>
        </w:rPr>
        <w:t xml:space="preserve">Phase 3: Scale (Year 2)</w:t>
      </w:r>
    </w:p>
    <w:p>
      <w:pPr>
        <w:pStyle w:val="ListParagraph"/>
        <w:numPr>
          <w:ilvl w:val="0"/>
          <w:numId w:val="2"/>
        </w:numPr>
        <w:spacing w:after="120"/>
      </w:pPr>
      <w:r>
        <w:rPr>
          <w:rFonts w:ascii="Helvetica Neue" w:cs="Helvetica Neue" w:eastAsia="Helvetica Neue" w:hAnsi="Helvetica Neue"/>
          <w:color w:val="333333"/>
          <w:sz w:val="22"/>
          <w:szCs w:val="22"/>
        </w:rPr>
        <w:t xml:space="preserve">Expand to EU markets (same regulatory frameworks, high consumer protection)</w:t>
      </w:r>
    </w:p>
    <w:p>
      <w:pPr>
        <w:pStyle w:val="ListParagraph"/>
        <w:numPr>
          <w:ilvl w:val="0"/>
          <w:numId w:val="2"/>
        </w:numPr>
        <w:spacing w:after="120"/>
      </w:pPr>
      <w:r>
        <w:rPr>
          <w:rFonts w:ascii="Helvetica Neue" w:cs="Helvetica Neue" w:eastAsia="Helvetica Neue" w:hAnsi="Helvetica Neue"/>
          <w:color w:val="333333"/>
          <w:sz w:val="22"/>
          <w:szCs w:val="22"/>
        </w:rPr>
        <w:t xml:space="preserve">Launch brand partnership programme (“Verified Partner” fast lanes)</w:t>
      </w:r>
    </w:p>
    <w:p>
      <w:pPr>
        <w:pStyle w:val="ListParagraph"/>
        <w:numPr>
          <w:ilvl w:val="0"/>
          <w:numId w:val="2"/>
        </w:numPr>
        <w:spacing w:after="120"/>
      </w:pPr>
      <w:r>
        <w:rPr>
          <w:rFonts w:ascii="Helvetica Neue" w:cs="Helvetica Neue" w:eastAsia="Helvetica Neue" w:hAnsi="Helvetica Neue"/>
          <w:color w:val="333333"/>
          <w:sz w:val="22"/>
          <w:szCs w:val="22"/>
        </w:rPr>
        <w:t xml:space="preserve">Begin AI-led resolution for high-confidence Tier 1 cases</w:t>
      </w:r>
    </w:p>
    <w:p>
      <w:pPr>
        <w:pStyle w:val="ListParagraph"/>
        <w:numPr>
          <w:ilvl w:val="0"/>
          <w:numId w:val="2"/>
        </w:numPr>
        <w:spacing w:after="120"/>
      </w:pPr>
      <w:r>
        <w:rPr>
          <w:rFonts w:ascii="Helvetica Neue" w:cs="Helvetica Neue" w:eastAsia="Helvetica Neue" w:hAnsi="Helvetica Neue"/>
          <w:color w:val="333333"/>
          <w:sz w:val="22"/>
          <w:szCs w:val="22"/>
        </w:rPr>
        <w:t xml:space="preserve">Introduce lower price tier as AI reduces cost per resolution</w:t>
      </w:r>
    </w:p>
    <w:p>
      <w:pPr>
        <w:pStyle w:val="Heading1"/>
        <w:spacing w:before="400" w:after="200"/>
      </w:pPr>
      <w:r>
        <w:rPr>
          <w:rFonts w:ascii="Helvetica Neue" w:cs="Helvetica Neue" w:eastAsia="Helvetica Neue" w:hAnsi="Helvetica Neue"/>
          <w:b/>
          <w:bCs/>
          <w:color w:val="1A1A2E"/>
          <w:sz w:val="36"/>
          <w:szCs w:val="36"/>
        </w:rPr>
        <w:t xml:space="preserve">Team Required</w:t>
      </w:r>
    </w:p>
    <w:p>
      <w:pPr>
        <w:pStyle w:val="ListParagraph"/>
        <w:numPr>
          <w:ilvl w:val="0"/>
          <w:numId w:val="2"/>
        </w:numPr>
        <w:spacing w:after="120"/>
      </w:pPr>
      <w:r>
        <w:rPr>
          <w:rFonts w:ascii="Helvetica Neue" w:cs="Helvetica Neue" w:eastAsia="Helvetica Neue" w:hAnsi="Helvetica Neue"/>
          <w:color w:val="333333"/>
          <w:sz w:val="22"/>
          <w:szCs w:val="22"/>
        </w:rPr>
        <w:t xml:space="preserve">CEO / Commercial Lead — drives GTM, partnerships, fundraising</w:t>
      </w:r>
    </w:p>
    <w:p>
      <w:pPr>
        <w:pStyle w:val="ListParagraph"/>
        <w:numPr>
          <w:ilvl w:val="0"/>
          <w:numId w:val="2"/>
        </w:numPr>
        <w:spacing w:after="120"/>
      </w:pPr>
      <w:r>
        <w:rPr>
          <w:rFonts w:ascii="Helvetica Neue" w:cs="Helvetica Neue" w:eastAsia="Helvetica Neue" w:hAnsi="Helvetica Neue"/>
          <w:color w:val="333333"/>
          <w:sz w:val="22"/>
          <w:szCs w:val="22"/>
        </w:rPr>
        <w:t xml:space="preserve">CTO / Product Lead — builds app, AI pipeline, internal tooling</w:t>
      </w:r>
    </w:p>
    <w:p>
      <w:pPr>
        <w:pStyle w:val="ListParagraph"/>
        <w:numPr>
          <w:ilvl w:val="0"/>
          <w:numId w:val="2"/>
        </w:numPr>
        <w:spacing w:after="120"/>
      </w:pPr>
      <w:r>
        <w:rPr>
          <w:rFonts w:ascii="Helvetica Neue" w:cs="Helvetica Neue" w:eastAsia="Helvetica Neue" w:hAnsi="Helvetica Neue"/>
          <w:color w:val="333333"/>
          <w:sz w:val="22"/>
          <w:szCs w:val="22"/>
        </w:rPr>
        <w:t xml:space="preserve">Head of Operations — manages concierge team, quality, training</w:t>
      </w:r>
    </w:p>
    <w:p>
      <w:pPr>
        <w:pStyle w:val="ListParagraph"/>
        <w:numPr>
          <w:ilvl w:val="0"/>
          <w:numId w:val="2"/>
        </w:numPr>
        <w:spacing w:after="120"/>
      </w:pPr>
      <w:r>
        <w:rPr>
          <w:rFonts w:ascii="Helvetica Neue" w:cs="Helvetica Neue" w:eastAsia="Helvetica Neue" w:hAnsi="Helvetica Neue"/>
          <w:color w:val="333333"/>
          <w:sz w:val="22"/>
          <w:szCs w:val="22"/>
        </w:rPr>
        <w:t xml:space="preserve">Head of Compliance — regulatory framework, LoA infrastructure, FCA licensing</w:t>
      </w:r>
    </w:p>
    <w:p>
      <w:pPr>
        <w:pStyle w:val="ListParagraph"/>
        <w:numPr>
          <w:ilvl w:val="0"/>
          <w:numId w:val="2"/>
        </w:numPr>
        <w:spacing w:after="120"/>
      </w:pPr>
      <w:r>
        <w:rPr>
          <w:rFonts w:ascii="Helvetica Neue" w:cs="Helvetica Neue" w:eastAsia="Helvetica Neue" w:hAnsi="Helvetica Neue"/>
          <w:color w:val="333333"/>
          <w:sz w:val="22"/>
          <w:szCs w:val="22"/>
        </w:rPr>
        <w:t xml:space="preserve">Concierge Team (5–10 at launch) — trained support specialists, remote</w:t>
      </w:r>
    </w:p>
    <w:p>
      <w:pPr>
        <w:pStyle w:val="ListParagraph"/>
        <w:numPr>
          <w:ilvl w:val="0"/>
          <w:numId w:val="2"/>
        </w:numPr>
        <w:spacing w:after="120"/>
      </w:pPr>
      <w:r>
        <w:rPr>
          <w:rFonts w:ascii="Helvetica Neue" w:cs="Helvetica Neue" w:eastAsia="Helvetica Neue" w:hAnsi="Helvetica Neue"/>
          <w:color w:val="333333"/>
          <w:sz w:val="22"/>
          <w:szCs w:val="22"/>
        </w:rPr>
        <w:t xml:space="preserve">AI/ML Engineer — triage, Hold-for-Me, drafting, automation</w:t>
      </w:r>
    </w:p>
    <w:p>
      <w:pPr>
        <w:pStyle w:val="Heading1"/>
        <w:spacing w:before="400" w:after="200"/>
      </w:pPr>
      <w:r>
        <w:rPr>
          <w:rFonts w:ascii="Helvetica Neue" w:cs="Helvetica Neue" w:eastAsia="Helvetica Neue" w:hAnsi="Helvetica Neue"/>
          <w:b/>
          <w:bCs/>
          <w:color w:val="1A1A2E"/>
          <w:sz w:val="36"/>
          <w:szCs w:val="36"/>
        </w:rPr>
        <w:t xml:space="preserve">Funding Ask</w:t>
      </w:r>
    </w:p>
    <w:p>
      <w:pPr>
        <w:spacing w:after="200"/>
      </w:pPr>
      <w:r>
        <w:rPr>
          <w:rFonts w:ascii="Helvetica Neue" w:cs="Helvetica Neue" w:eastAsia="Helvetica Neue" w:hAnsi="Helvetica Neue"/>
          <w:color w:val="333333"/>
          <w:sz w:val="22"/>
          <w:szCs w:val="22"/>
        </w:rPr>
        <w:t xml:space="preserve">Seed round: £1.5–2M to fund 18 months of operations through founding member launch, UK rollout, and path to Series A metrics.</w:t>
      </w:r>
    </w:p>
    <w:p>
      <w:pPr>
        <w:pStyle w:val="ListParagraph"/>
        <w:numPr>
          <w:ilvl w:val="0"/>
          <w:numId w:val="2"/>
        </w:numPr>
        <w:spacing w:after="120"/>
      </w:pPr>
      <w:r>
        <w:rPr>
          <w:rFonts w:ascii="Helvetica Neue" w:cs="Helvetica Neue" w:eastAsia="Helvetica Neue" w:hAnsi="Helvetica Neue"/>
          <w:color w:val="333333"/>
          <w:sz w:val="22"/>
          <w:szCs w:val="22"/>
        </w:rPr>
        <w:t xml:space="preserve">35% — Team (founding team + initial concierge workforce)</w:t>
      </w:r>
    </w:p>
    <w:p>
      <w:pPr>
        <w:pStyle w:val="ListParagraph"/>
        <w:numPr>
          <w:ilvl w:val="0"/>
          <w:numId w:val="2"/>
        </w:numPr>
        <w:spacing w:after="120"/>
      </w:pPr>
      <w:r>
        <w:rPr>
          <w:rFonts w:ascii="Helvetica Neue" w:cs="Helvetica Neue" w:eastAsia="Helvetica Neue" w:hAnsi="Helvetica Neue"/>
          <w:color w:val="333333"/>
          <w:sz w:val="22"/>
          <w:szCs w:val="22"/>
        </w:rPr>
        <w:t xml:space="preserve">25% — Product &amp; Technology (app, AI tooling, Hold-for-Me, internal systems)</w:t>
      </w:r>
    </w:p>
    <w:p>
      <w:pPr>
        <w:pStyle w:val="ListParagraph"/>
        <w:numPr>
          <w:ilvl w:val="0"/>
          <w:numId w:val="2"/>
        </w:numPr>
        <w:spacing w:after="120"/>
      </w:pPr>
      <w:r>
        <w:rPr>
          <w:rFonts w:ascii="Helvetica Neue" w:cs="Helvetica Neue" w:eastAsia="Helvetica Neue" w:hAnsi="Helvetica Neue"/>
          <w:color w:val="333333"/>
          <w:sz w:val="22"/>
          <w:szCs w:val="22"/>
        </w:rPr>
        <w:t xml:space="preserve">20% — Compliance &amp; Legal (authority framework, FCA licensing, data infrastructure)</w:t>
      </w:r>
    </w:p>
    <w:p>
      <w:pPr>
        <w:pStyle w:val="ListParagraph"/>
        <w:numPr>
          <w:ilvl w:val="0"/>
          <w:numId w:val="2"/>
        </w:numPr>
        <w:spacing w:after="120"/>
      </w:pPr>
      <w:r>
        <w:rPr>
          <w:rFonts w:ascii="Helvetica Neue" w:cs="Helvetica Neue" w:eastAsia="Helvetica Neue" w:hAnsi="Helvetica Neue"/>
          <w:color w:val="333333"/>
          <w:sz w:val="22"/>
          <w:szCs w:val="22"/>
        </w:rPr>
        <w:t xml:space="preserve">10% — Marketing &amp; Customer Acquisition</w:t>
      </w:r>
    </w:p>
    <w:p>
      <w:pPr>
        <w:pStyle w:val="ListParagraph"/>
        <w:numPr>
          <w:ilvl w:val="0"/>
          <w:numId w:val="2"/>
        </w:numPr>
        <w:spacing w:after="120"/>
      </w:pPr>
      <w:r>
        <w:rPr>
          <w:rFonts w:ascii="Helvetica Neue" w:cs="Helvetica Neue" w:eastAsia="Helvetica Neue" w:hAnsi="Helvetica Neue"/>
          <w:color w:val="333333"/>
          <w:sz w:val="22"/>
          <w:szCs w:val="22"/>
        </w:rPr>
        <w:t xml:space="preserve">10% — Operations &amp; Working Capital</w:t>
      </w:r>
    </w:p>
    <w:p>
      <w:pPr>
        <w:sectPr>
          <w:pgSz w:w="12240" w:h="15840" w:orient="portrait"/>
          <w:pgMar w:top="1440" w:right="1440" w:bottom="1440" w:left="1440" w:header="708" w:footer="708" w:gutter="0"/>
          <w:pgNumType/>
          <w:docGrid w:linePitch="360"/>
        </w:sectPr>
      </w:pPr>
    </w:p>
    <w:p>
      <w:pPr>
        <w:pStyle w:val="Heading1"/>
        <w:spacing w:before="400" w:after="200"/>
      </w:pPr>
      <w:r>
        <w:rPr>
          <w:rFonts w:ascii="Helvetica Neue" w:cs="Helvetica Neue" w:eastAsia="Helvetica Neue" w:hAnsi="Helvetica Neue"/>
          <w:b/>
          <w:bCs/>
          <w:color w:val="1A1A2E"/>
          <w:sz w:val="36"/>
          <w:szCs w:val="36"/>
        </w:rPr>
        <w:t xml:space="preserve">Why This Wins</w:t>
      </w:r>
    </w:p>
    <w:p>
      <w:pPr>
        <w:spacing w:after="200"/>
      </w:pPr>
      <w:r>
        <w:rPr>
          <w:rFonts w:ascii="Helvetica Neue" w:cs="Helvetica Neue" w:eastAsia="Helvetica Neue" w:hAnsi="Helvetica Neue"/>
          <w:color w:val="333333"/>
          <w:sz w:val="22"/>
          <w:szCs w:val="22"/>
        </w:rPr>
        <w:t xml:space="preserve"/>
      </w:r>
    </w:p>
    <w:p>
      <w:pPr>
        <w:spacing w:after="200"/>
      </w:pPr>
      <w:r>
        <w:rPr>
          <w:rFonts w:ascii="Helvetica Neue" w:cs="Helvetica Neue" w:eastAsia="Helvetica Neue" w:hAnsi="Helvetica Neue"/>
          <w:b/>
          <w:bCs/>
          <w:color w:val="1A1A2E"/>
          <w:sz w:val="22"/>
          <w:szCs w:val="22"/>
        </w:rPr>
        <w:t xml:space="preserve">The insight: </w:t>
      </w:r>
      <w:r>
        <w:rPr>
          <w:rFonts w:ascii="Helvetica Neue" w:cs="Helvetica Neue" w:eastAsia="Helvetica Neue" w:hAnsi="Helvetica Neue"/>
          <w:color w:val="333333"/>
          <w:sz w:val="22"/>
          <w:szCs w:val="22"/>
        </w:rPr>
        <w:t xml:space="preserve">AI will make support better for companies. But no one is building AI that fights for consumers. Chillin is the first service that sits entirely on the consumer’s side of the table.</w:t>
      </w:r>
    </w:p>
    <w:p>
      <w:pPr>
        <w:spacing w:after="200"/>
      </w:pPr>
      <w:r>
        <w:rPr>
          <w:rFonts w:ascii="Helvetica Neue" w:cs="Helvetica Neue" w:eastAsia="Helvetica Neue" w:hAnsi="Helvetica Neue"/>
          <w:color w:val="333333"/>
          <w:sz w:val="22"/>
          <w:szCs w:val="22"/>
        </w:rPr>
        <w:t xml:space="preserve"/>
      </w:r>
    </w:p>
    <w:p>
      <w:pPr>
        <w:spacing w:after="200"/>
      </w:pPr>
      <w:r>
        <w:rPr>
          <w:rFonts w:ascii="Helvetica Neue" w:cs="Helvetica Neue" w:eastAsia="Helvetica Neue" w:hAnsi="Helvetica Neue"/>
          <w:b/>
          <w:bCs/>
          <w:color w:val="1A1A2E"/>
          <w:sz w:val="22"/>
          <w:szCs w:val="22"/>
        </w:rPr>
        <w:t xml:space="preserve">The moat: </w:t>
      </w:r>
      <w:r>
        <w:rPr>
          <w:rFonts w:ascii="Helvetica Neue" w:cs="Helvetica Neue" w:eastAsia="Helvetica Neue" w:hAnsi="Helvetica Neue"/>
          <w:color w:val="333333"/>
          <w:sz w:val="22"/>
          <w:szCs w:val="22"/>
        </w:rPr>
        <w:t xml:space="preserve">Three layers deep. First, a proprietary resolution dataset trained on real outcomes. Second, a legal authority framework that takes years to replicate. Third, company-specific relationships and playbooks that compound with every ticket resolved.</w:t>
      </w:r>
    </w:p>
    <w:p>
      <w:pPr>
        <w:spacing w:after="200"/>
      </w:pPr>
      <w:r>
        <w:rPr>
          <w:rFonts w:ascii="Helvetica Neue" w:cs="Helvetica Neue" w:eastAsia="Helvetica Neue" w:hAnsi="Helvetica Neue"/>
          <w:color w:val="333333"/>
          <w:sz w:val="22"/>
          <w:szCs w:val="22"/>
        </w:rPr>
        <w:t xml:space="preserve"/>
      </w:r>
    </w:p>
    <w:p>
      <w:pPr>
        <w:spacing w:after="200"/>
      </w:pPr>
      <w:r>
        <w:rPr>
          <w:rFonts w:ascii="Helvetica Neue" w:cs="Helvetica Neue" w:eastAsia="Helvetica Neue" w:hAnsi="Helvetica Neue"/>
          <w:b/>
          <w:bCs/>
          <w:color w:val="1A1A2E"/>
          <w:sz w:val="22"/>
          <w:szCs w:val="22"/>
        </w:rPr>
        <w:t xml:space="preserve">The regulatory advantage: </w:t>
      </w:r>
      <w:r>
        <w:rPr>
          <w:rFonts w:ascii="Helvetica Neue" w:cs="Helvetica Neue" w:eastAsia="Helvetica Neue" w:hAnsi="Helvetica Neue"/>
          <w:color w:val="333333"/>
          <w:sz w:val="22"/>
          <w:szCs w:val="22"/>
        </w:rPr>
        <w:t xml:space="preserve">Like Numan in healthcare, the compliance burden that deters casual competitors becomes our competitive advantage. FCA licensing, GDPR-compliant authority infrastructure, and company-specific authorisation processes create hard barriers to entry.</w:t>
      </w:r>
    </w:p>
    <w:p>
      <w:pPr>
        <w:spacing w:after="200"/>
      </w:pPr>
      <w:r>
        <w:rPr>
          <w:rFonts w:ascii="Helvetica Neue" w:cs="Helvetica Neue" w:eastAsia="Helvetica Neue" w:hAnsi="Helvetica Neue"/>
          <w:color w:val="333333"/>
          <w:sz w:val="22"/>
          <w:szCs w:val="22"/>
        </w:rPr>
        <w:t xml:space="preserve"/>
      </w:r>
    </w:p>
    <w:p>
      <w:pPr>
        <w:spacing w:after="200"/>
      </w:pPr>
      <w:r>
        <w:rPr>
          <w:rFonts w:ascii="Helvetica Neue" w:cs="Helvetica Neue" w:eastAsia="Helvetica Neue" w:hAnsi="Helvetica Neue"/>
          <w:b/>
          <w:bCs/>
          <w:color w:val="1A1A2E"/>
          <w:sz w:val="22"/>
          <w:szCs w:val="22"/>
        </w:rPr>
        <w:t xml:space="preserve">The timing: </w:t>
      </w:r>
      <w:r>
        <w:rPr>
          <w:rFonts w:ascii="Helvetica Neue" w:cs="Helvetica Neue" w:eastAsia="Helvetica Neue" w:hAnsi="Helvetica Neue"/>
          <w:color w:val="333333"/>
          <w:sz w:val="22"/>
          <w:szCs w:val="22"/>
        </w:rPr>
        <w:t xml:space="preserve">AI reduces our cost per resolution. Remote workforces make global coverage affordable. Consumer frustration with chatbot-first support is at an all-time high. The subscription model is mature and understood.</w:t>
      </w:r>
    </w:p>
    <w:p>
      <w:pPr>
        <w:spacing w:after="200"/>
      </w:pPr>
      <w:r>
        <w:rPr>
          <w:rFonts w:ascii="Helvetica Neue" w:cs="Helvetica Neue" w:eastAsia="Helvetica Neue" w:hAnsi="Helvetica Neue"/>
          <w:color w:val="333333"/>
          <w:sz w:val="22"/>
          <w:szCs w:val="22"/>
        </w:rPr>
        <w:t xml:space="preserve"/>
      </w:r>
    </w:p>
    <w:p>
      <w:pPr>
        <w:spacing w:after="200"/>
      </w:pPr>
      <w:r>
        <w:rPr>
          <w:rFonts w:ascii="Helvetica Neue" w:cs="Helvetica Neue" w:eastAsia="Helvetica Neue" w:hAnsi="Helvetica Neue"/>
          <w:b/>
          <w:bCs/>
          <w:color w:val="1A1A2E"/>
          <w:sz w:val="22"/>
          <w:szCs w:val="22"/>
        </w:rPr>
        <w:t xml:space="preserve">The premium play: </w:t>
      </w:r>
      <w:r>
        <w:rPr>
          <w:rFonts w:ascii="Helvetica Neue" w:cs="Helvetica Neue" w:eastAsia="Helvetica Neue" w:hAnsi="Helvetica Neue"/>
          <w:color w:val="333333"/>
          <w:sz w:val="22"/>
          <w:szCs w:val="22"/>
        </w:rPr>
        <w:t xml:space="preserve">We launch at price points that work from day one. No subsidising unit economics with venture capital. As AI handles more, margins expand and prices come down — creating a natural growth curve from premium early adopters to mass market.</w:t>
      </w:r>
    </w:p>
    <w:p>
      <w:pPr>
        <w:spacing w:after="200"/>
      </w:pPr>
      <w:r>
        <w:rPr>
          <w:rFonts w:ascii="Helvetica Neue" w:cs="Helvetica Neue" w:eastAsia="Helvetica Neue" w:hAnsi="Helvetica Neue"/>
          <w:color w:val="333333"/>
          <w:sz w:val="22"/>
          <w:szCs w:val="22"/>
        </w:rPr>
        <w:t xml:space="preserve"/>
      </w:r>
    </w:p>
    <w:p>
      <w:pPr>
        <w:spacing w:after="200"/>
      </w:pPr>
      <w:r>
        <w:rPr>
          <w:rFonts w:ascii="Helvetica Neue" w:cs="Helvetica Neue" w:eastAsia="Helvetica Neue" w:hAnsi="Helvetica Neue"/>
          <w:b/>
          <w:bCs/>
          <w:color w:val="1A1A2E"/>
          <w:sz w:val="22"/>
          <w:szCs w:val="22"/>
        </w:rPr>
        <w:t xml:space="preserve">The endgame: </w:t>
      </w:r>
      <w:r>
        <w:rPr>
          <w:rFonts w:ascii="Helvetica Neue" w:cs="Helvetica Neue" w:eastAsia="Helvetica Neue" w:hAnsi="Helvetica Neue"/>
          <w:color w:val="333333"/>
          <w:sz w:val="22"/>
          <w:szCs w:val="22"/>
        </w:rPr>
        <w:t xml:space="preserve">Chillin becomes the world’s first autonomous AI consumer advocate — an agent that knows more about getting results from every major company than any human could, trained on the largest proprietary dataset of real consumer resolution outcomes ever assembled.</w:t>
      </w:r>
    </w:p>
    <w:p>
      <w:pPr>
        <w:spacing w:after="200"/>
      </w:pPr>
      <w:r>
        <w:rPr>
          <w:rFonts w:ascii="Helvetica Neue" w:cs="Helvetica Neue" w:eastAsia="Helvetica Neue" w:hAnsi="Helvetica Neue"/>
          <w:color w:val="333333"/>
          <w:sz w:val="22"/>
          <w:szCs w:val="22"/>
        </w:rPr>
        <w:t xml:space="preserve"/>
      </w:r>
    </w:p>
    <w:p>
      <w:pPr>
        <w:spacing w:after="200"/>
      </w:pPr>
      <w:r>
        <w:rPr>
          <w:rFonts w:ascii="Helvetica Neue" w:cs="Helvetica Neue" w:eastAsia="Helvetica Neue" w:hAnsi="Helvetica Neue"/>
          <w:color w:val="333333"/>
          <w:sz w:val="22"/>
          <w:szCs w:val="22"/>
        </w:rPr>
        <w:t xml:space="preserve"/>
      </w:r>
    </w:p>
    <w:p>
      <w:pPr>
        <w:spacing w:before="400"/>
        <w:jc w:val="center"/>
      </w:pPr>
      <w:r>
        <w:rPr>
          <w:rFonts w:ascii="Helvetica Neue" w:cs="Helvetica Neue" w:eastAsia="Helvetica Neue" w:hAnsi="Helvetica Neue"/>
          <w:b/>
          <w:bCs/>
          <w:i/>
          <w:iCs/>
          <w:color w:val="1A1A2E"/>
          <w:sz w:val="32"/>
          <w:szCs w:val="32"/>
        </w:rPr>
        <w:t xml:space="preserve">We handle it. You chill.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Helvetica Neue" w:cs="Helvetica Neue" w:eastAsia="Helvetica Neue" w:hAnsi="Helvetica Neue"/>
      <w:b/>
      <w:bCs/>
      <w:sz w:val="36"/>
      <w:szCs w:val="36"/>
    </w:rPr>
  </w:style>
  <w:style w:type="paragraph" w:styleId="Heading2">
    <w:name w:val="Heading 2"/>
    <w:basedOn w:val="Normal"/>
    <w:next w:val="Normal"/>
    <w:qFormat/>
    <w:pPr>
      <w:spacing w:before="300" w:after="150"/>
      <w:outlineLvl w:val="1"/>
    </w:pPr>
    <w:rPr>
      <w:rFonts w:ascii="Helvetica Neue" w:cs="Helvetica Neue" w:eastAsia="Helvetica Neue" w:hAnsi="Helvetica Neue"/>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2026-02-12T22:51:11.986Z</dcterms:created>
  <dcterms:modified xsi:type="dcterms:W3CDTF">2026-02-12T22:51:11.988Z</dcterms:modified>
</cp:coreProperties>
</file>

<file path=docProps/custom.xml><?xml version="1.0" encoding="utf-8"?>
<Properties xmlns="http://schemas.openxmlformats.org/officeDocument/2006/custom-properties" xmlns:vt="http://schemas.openxmlformats.org/officeDocument/2006/docPropsVTypes"/>
</file>