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ADB73" w14:textId="355D912A" w:rsidR="003C2C7D" w:rsidRDefault="000921FE" w:rsidP="000921FE">
      <w:pPr>
        <w:jc w:val="center"/>
        <w:rPr>
          <w:b/>
          <w:bCs/>
          <w:u w:val="single"/>
        </w:rPr>
      </w:pPr>
      <w:r>
        <w:rPr>
          <w:b/>
          <w:bCs/>
          <w:u w:val="single"/>
        </w:rPr>
        <w:t>ADVANCED GEOSPATIAL SOLUTIONS REQUIREMENTS FROM KPLC</w:t>
      </w:r>
    </w:p>
    <w:p w14:paraId="71BC1E1D" w14:textId="77777777" w:rsidR="000921FE" w:rsidRDefault="000921FE" w:rsidP="000921FE">
      <w:pPr>
        <w:jc w:val="center"/>
        <w:rPr>
          <w:b/>
          <w:bCs/>
          <w:u w:val="single"/>
        </w:rPr>
      </w:pPr>
    </w:p>
    <w:p w14:paraId="41B6DE15" w14:textId="402DF91E" w:rsidR="003C7540" w:rsidRPr="00AA6746" w:rsidRDefault="001D1D8F" w:rsidP="00002923">
      <w:pPr>
        <w:rPr>
          <w:b/>
          <w:bCs/>
          <w:u w:val="single"/>
        </w:rPr>
      </w:pPr>
      <w:r w:rsidRPr="00AA6746">
        <w:rPr>
          <w:b/>
          <w:bCs/>
          <w:u w:val="single"/>
        </w:rPr>
        <w:t>Environmental Due Diligence: List of Required Documents</w:t>
      </w:r>
    </w:p>
    <w:p w14:paraId="704A862B"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EHS Legal Register;</w:t>
      </w:r>
    </w:p>
    <w:p w14:paraId="760A2537"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EHS policies and procedures;</w:t>
      </w:r>
    </w:p>
    <w:p w14:paraId="7E42AA16"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Organogram for the site (showing all departments and designations);</w:t>
      </w:r>
    </w:p>
    <w:p w14:paraId="5E83F89D" w14:textId="0414F8AA"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For inspection, all permits and licenses as required by the Laws of Kenya, e.g., trade license, workplace registration certificate, water abstraction permit, effluent discharge licenses, KRA Pin, land ownership documents, land rates, Waste handlers license, etc.;</w:t>
      </w:r>
    </w:p>
    <w:p w14:paraId="07E58B29"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Previous regulatory audit reports (Environmental, Occupational Health and Safety, and Fire Safety audit reports);</w:t>
      </w:r>
    </w:p>
    <w:p w14:paraId="0C185B7F"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An inventory of chemicals used at the workplace and MSDSs</w:t>
      </w:r>
    </w:p>
    <w:p w14:paraId="1D7AC213"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Description of all activities undertaken at the site; provide flow charts if available</w:t>
      </w:r>
    </w:p>
    <w:p w14:paraId="09740974"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Monitoring reports: noise, effluent water, potable water, vibrations, air emissions and waste.</w:t>
      </w:r>
    </w:p>
    <w:p w14:paraId="439B639C"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Site layout/ Drainage layout for both storm water and effluent;</w:t>
      </w:r>
    </w:p>
    <w:p w14:paraId="3B49218D" w14:textId="2306F2F1"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eastAsia="en-GB"/>
          <w14:ligatures w14:val="none"/>
        </w:rPr>
        <w:t xml:space="preserve">Improvement orders from regulatory </w:t>
      </w:r>
      <w:r w:rsidR="003C2C7D" w:rsidRPr="003C7540">
        <w:rPr>
          <w:rFonts w:ascii="Calibri" w:eastAsia="Times New Roman" w:hAnsi="Calibri" w:cs="Calibri"/>
          <w:color w:val="242424"/>
          <w:kern w:val="0"/>
          <w:bdr w:val="none" w:sz="0" w:space="0" w:color="auto" w:frame="1"/>
          <w:lang w:eastAsia="en-GB"/>
          <w14:ligatures w14:val="none"/>
        </w:rPr>
        <w:t>bodies (</w:t>
      </w:r>
      <w:r w:rsidRPr="003C7540">
        <w:rPr>
          <w:rFonts w:ascii="Calibri" w:eastAsia="Times New Roman" w:hAnsi="Calibri" w:cs="Calibri"/>
          <w:color w:val="242424"/>
          <w:kern w:val="0"/>
          <w:bdr w:val="none" w:sz="0" w:space="0" w:color="auto" w:frame="1"/>
          <w:lang w:eastAsia="en-GB"/>
          <w14:ligatures w14:val="none"/>
        </w:rPr>
        <w:t>Where applicable)</w:t>
      </w:r>
    </w:p>
    <w:p w14:paraId="7F98FBCE" w14:textId="29A2A94E"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Communications/Public Engagement Strategy, and minutes/records of meetings e.g., Health and safety committee minutes.</w:t>
      </w:r>
    </w:p>
    <w:p w14:paraId="2B010905" w14:textId="77777777"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Employees medical examinations</w:t>
      </w:r>
    </w:p>
    <w:p w14:paraId="61C3CFF8" w14:textId="332728B6" w:rsidR="003C7540" w:rsidRPr="003C7540"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Training certificates e.g., first aid, fire fighting</w:t>
      </w:r>
    </w:p>
    <w:p w14:paraId="300E3E0D" w14:textId="4C6F568D" w:rsidR="003C7540" w:rsidRPr="005E2DC8" w:rsidRDefault="003C7540" w:rsidP="009C18FE">
      <w:pPr>
        <w:numPr>
          <w:ilvl w:val="0"/>
          <w:numId w:val="1"/>
        </w:numPr>
        <w:shd w:val="clear" w:color="auto" w:fill="FFFFFF"/>
        <w:spacing w:after="0" w:line="276" w:lineRule="auto"/>
        <w:jc w:val="both"/>
        <w:rPr>
          <w:rFonts w:ascii="Calibri" w:eastAsia="Times New Roman" w:hAnsi="Calibri" w:cs="Calibri"/>
          <w:color w:val="242424"/>
          <w:kern w:val="0"/>
          <w:lang w:eastAsia="en-GB"/>
          <w14:ligatures w14:val="none"/>
        </w:rPr>
      </w:pPr>
      <w:r w:rsidRPr="003C7540">
        <w:rPr>
          <w:rFonts w:ascii="Calibri" w:eastAsia="Times New Roman" w:hAnsi="Calibri" w:cs="Calibri"/>
          <w:color w:val="242424"/>
          <w:kern w:val="0"/>
          <w:bdr w:val="none" w:sz="0" w:space="0" w:color="auto" w:frame="1"/>
          <w:lang w:val="en-US" w:eastAsia="en-GB"/>
          <w14:ligatures w14:val="none"/>
        </w:rPr>
        <w:t>Resource use records, e.g., water, electricity, diesel</w:t>
      </w:r>
    </w:p>
    <w:p w14:paraId="5AF9029C" w14:textId="77777777" w:rsidR="00C84A5B" w:rsidRDefault="00C84A5B" w:rsidP="00C84A5B">
      <w:pPr>
        <w:rPr>
          <w:b/>
          <w:bCs/>
        </w:rPr>
      </w:pPr>
    </w:p>
    <w:p w14:paraId="29B0A468" w14:textId="35A12D05" w:rsidR="003C7540" w:rsidRPr="00AA6746" w:rsidRDefault="005E2DC8" w:rsidP="00C84A5B">
      <w:pPr>
        <w:rPr>
          <w:b/>
          <w:bCs/>
          <w:u w:val="single"/>
        </w:rPr>
      </w:pPr>
      <w:r w:rsidRPr="00AA6746">
        <w:rPr>
          <w:b/>
          <w:bCs/>
          <w:u w:val="single"/>
        </w:rPr>
        <w:t xml:space="preserve">Civil/Structure assessment and valuation of </w:t>
      </w:r>
      <w:r w:rsidR="00002923" w:rsidRPr="00AA6746">
        <w:rPr>
          <w:b/>
          <w:bCs/>
          <w:u w:val="single"/>
        </w:rPr>
        <w:t>infrastructure</w:t>
      </w:r>
      <w:r w:rsidRPr="00AA6746">
        <w:rPr>
          <w:b/>
          <w:bCs/>
          <w:u w:val="single"/>
        </w:rPr>
        <w:t xml:space="preserve"> </w:t>
      </w:r>
      <w:r w:rsidR="00002923" w:rsidRPr="00AA6746">
        <w:rPr>
          <w:b/>
          <w:bCs/>
          <w:u w:val="single"/>
        </w:rPr>
        <w:t>requirements</w:t>
      </w:r>
      <w:r w:rsidRPr="00AA6746">
        <w:rPr>
          <w:b/>
          <w:bCs/>
          <w:u w:val="single"/>
        </w:rPr>
        <w:t xml:space="preserve"> </w:t>
      </w:r>
    </w:p>
    <w:p w14:paraId="4A078609" w14:textId="298CCC6A"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Asset inventory details: acquisition cost &amp; dates</w:t>
      </w:r>
    </w:p>
    <w:p w14:paraId="1DADD772" w14:textId="36FDEC6B"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Design drawings and specifications: tower bases, steel member sizes, material specifications, bill of quantities</w:t>
      </w:r>
    </w:p>
    <w:p w14:paraId="312EF187" w14:textId="46638BD4"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Design drawings for base stations and specifications: material specifications, bill of quantities</w:t>
      </w:r>
    </w:p>
    <w:p w14:paraId="70F49BF6" w14:textId="73F81E60"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Geotechnical investigation reports for various towers/lines</w:t>
      </w:r>
    </w:p>
    <w:p w14:paraId="731016FD" w14:textId="10B24B54"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As built drawings for towers and base stations</w:t>
      </w:r>
    </w:p>
    <w:p w14:paraId="4B4ED408" w14:textId="23009222"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Assets maintenance and inspection records (</w:t>
      </w:r>
      <w:proofErr w:type="spellStart"/>
      <w:r w:rsidRPr="001E5140">
        <w:rPr>
          <w:rFonts w:ascii="Calibri" w:eastAsia="Times New Roman" w:hAnsi="Calibri" w:cs="Calibri"/>
          <w:color w:val="242424"/>
          <w:kern w:val="0"/>
          <w:bdr w:val="none" w:sz="0" w:space="0" w:color="auto" w:frame="1"/>
          <w:lang w:val="en-US" w:eastAsia="en-GB"/>
          <w14:ligatures w14:val="none"/>
        </w:rPr>
        <w:t>ie</w:t>
      </w:r>
      <w:proofErr w:type="spellEnd"/>
      <w:r w:rsidRPr="001E5140">
        <w:rPr>
          <w:rFonts w:ascii="Calibri" w:eastAsia="Times New Roman" w:hAnsi="Calibri" w:cs="Calibri"/>
          <w:color w:val="242424"/>
          <w:kern w:val="0"/>
          <w:bdr w:val="none" w:sz="0" w:space="0" w:color="auto" w:frame="1"/>
          <w:lang w:val="en-US" w:eastAsia="en-GB"/>
          <w14:ligatures w14:val="none"/>
        </w:rPr>
        <w:t> maintenance frequency, environmental impacts on performance such as flooding, any obsolete assets)</w:t>
      </w:r>
    </w:p>
    <w:p w14:paraId="2A2914F1" w14:textId="67F2FA2A"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Tower and base stations geolocation maps</w:t>
      </w:r>
    </w:p>
    <w:p w14:paraId="051539D2" w14:textId="6F7418F6"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Tower certificates: integrity, galvanization, tower testing certificates</w:t>
      </w:r>
    </w:p>
    <w:p w14:paraId="1A57DFB8" w14:textId="53EE914C" w:rsidR="005E2DC8" w:rsidRPr="001E5140" w:rsidRDefault="005E2DC8"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Key relevant service providers, if any</w:t>
      </w:r>
    </w:p>
    <w:p w14:paraId="53EB8F3B" w14:textId="77777777" w:rsidR="005E2DC8" w:rsidRDefault="005E2DC8"/>
    <w:p w14:paraId="54568C0B" w14:textId="3EF10A89" w:rsidR="00D16F27" w:rsidRPr="00AA6746" w:rsidRDefault="00485E30" w:rsidP="00D16F27">
      <w:pPr>
        <w:rPr>
          <w:b/>
          <w:bCs/>
          <w:u w:val="single"/>
        </w:rPr>
      </w:pPr>
      <w:r>
        <w:rPr>
          <w:b/>
          <w:bCs/>
          <w:u w:val="single"/>
        </w:rPr>
        <w:t>Land Survey/</w:t>
      </w:r>
      <w:r w:rsidR="003C2C7D">
        <w:rPr>
          <w:b/>
          <w:bCs/>
          <w:u w:val="single"/>
        </w:rPr>
        <w:t xml:space="preserve">Geospatial </w:t>
      </w:r>
      <w:r w:rsidR="003C2C7D" w:rsidRPr="00AA6746">
        <w:rPr>
          <w:b/>
          <w:bCs/>
          <w:u w:val="single"/>
        </w:rPr>
        <w:t>requirements</w:t>
      </w:r>
      <w:r w:rsidR="00D16F27" w:rsidRPr="00AA6746">
        <w:rPr>
          <w:b/>
          <w:bCs/>
          <w:u w:val="single"/>
        </w:rPr>
        <w:t xml:space="preserve"> </w:t>
      </w:r>
    </w:p>
    <w:p w14:paraId="2231E139" w14:textId="77777777" w:rsidR="00660786" w:rsidRPr="001E5140" w:rsidRDefault="00660786"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Survey plans and maps for the listed parcels (if available)</w:t>
      </w:r>
    </w:p>
    <w:p w14:paraId="6E9A07EB" w14:textId="77777777" w:rsidR="00660786" w:rsidRPr="001E5140" w:rsidRDefault="00660786"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Wayleave data (Maps, RIMS, GIS) for each transmission line</w:t>
      </w:r>
    </w:p>
    <w:p w14:paraId="262EB5C3" w14:textId="5D939786" w:rsidR="00660786" w:rsidRPr="001E5140" w:rsidRDefault="00660786"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 xml:space="preserve">Transmission line </w:t>
      </w:r>
      <w:r w:rsidR="00780ECC" w:rsidRPr="001E5140">
        <w:rPr>
          <w:rFonts w:ascii="Calibri" w:eastAsia="Times New Roman" w:hAnsi="Calibri" w:cs="Calibri"/>
          <w:color w:val="242424"/>
          <w:kern w:val="0"/>
          <w:bdr w:val="none" w:sz="0" w:space="0" w:color="auto" w:frame="1"/>
          <w:lang w:val="en-US" w:eastAsia="en-GB"/>
          <w14:ligatures w14:val="none"/>
        </w:rPr>
        <w:t>data:</w:t>
      </w:r>
      <w:r w:rsidRPr="001E5140">
        <w:rPr>
          <w:rFonts w:ascii="Calibri" w:eastAsia="Times New Roman" w:hAnsi="Calibri" w:cs="Calibri"/>
          <w:color w:val="242424"/>
          <w:kern w:val="0"/>
          <w:bdr w:val="none" w:sz="0" w:space="0" w:color="auto" w:frame="1"/>
          <w:lang w:val="en-US" w:eastAsia="en-GB"/>
          <w14:ligatures w14:val="none"/>
        </w:rPr>
        <w:t xml:space="preserve"> GIS layers for all the lines and the pylons </w:t>
      </w:r>
    </w:p>
    <w:p w14:paraId="0465E6DE" w14:textId="67ABDC24" w:rsidR="00D16F27" w:rsidRPr="001E5140" w:rsidRDefault="00660786" w:rsidP="001E5140">
      <w:pPr>
        <w:numPr>
          <w:ilvl w:val="0"/>
          <w:numId w:val="1"/>
        </w:numPr>
        <w:shd w:val="clear" w:color="auto" w:fill="FFFFFF"/>
        <w:spacing w:after="0" w:line="276" w:lineRule="auto"/>
        <w:jc w:val="both"/>
        <w:rPr>
          <w:rFonts w:ascii="Calibri" w:eastAsia="Times New Roman" w:hAnsi="Calibri" w:cs="Calibri"/>
          <w:color w:val="242424"/>
          <w:kern w:val="0"/>
          <w:bdr w:val="none" w:sz="0" w:space="0" w:color="auto" w:frame="1"/>
          <w:lang w:val="en-US" w:eastAsia="en-GB"/>
          <w14:ligatures w14:val="none"/>
        </w:rPr>
      </w:pPr>
      <w:r w:rsidRPr="001E5140">
        <w:rPr>
          <w:rFonts w:ascii="Calibri" w:eastAsia="Times New Roman" w:hAnsi="Calibri" w:cs="Calibri"/>
          <w:color w:val="242424"/>
          <w:kern w:val="0"/>
          <w:bdr w:val="none" w:sz="0" w:space="0" w:color="auto" w:frame="1"/>
          <w:lang w:val="en-US" w:eastAsia="en-GB"/>
          <w14:ligatures w14:val="none"/>
        </w:rPr>
        <w:t xml:space="preserve">Station </w:t>
      </w:r>
      <w:r w:rsidR="00520A04" w:rsidRPr="001E5140">
        <w:rPr>
          <w:rFonts w:ascii="Calibri" w:eastAsia="Times New Roman" w:hAnsi="Calibri" w:cs="Calibri"/>
          <w:color w:val="242424"/>
          <w:kern w:val="0"/>
          <w:bdr w:val="none" w:sz="0" w:space="0" w:color="auto" w:frame="1"/>
          <w:lang w:val="en-US" w:eastAsia="en-GB"/>
          <w14:ligatures w14:val="none"/>
        </w:rPr>
        <w:t>Data:</w:t>
      </w:r>
      <w:r w:rsidRPr="001E5140">
        <w:rPr>
          <w:rFonts w:ascii="Calibri" w:eastAsia="Times New Roman" w:hAnsi="Calibri" w:cs="Calibri"/>
          <w:color w:val="242424"/>
          <w:kern w:val="0"/>
          <w:bdr w:val="none" w:sz="0" w:space="0" w:color="auto" w:frame="1"/>
          <w:lang w:val="en-US" w:eastAsia="en-GB"/>
          <w14:ligatures w14:val="none"/>
        </w:rPr>
        <w:t xml:space="preserve"> GIS data for all stations (name, location, line, rating, etc.)</w:t>
      </w:r>
    </w:p>
    <w:sectPr w:rsidR="00D16F27" w:rsidRPr="001E51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2EDFA" w14:textId="77777777" w:rsidR="00C1624E" w:rsidRDefault="00C1624E" w:rsidP="00B70F8C">
      <w:pPr>
        <w:spacing w:after="0" w:line="240" w:lineRule="auto"/>
      </w:pPr>
      <w:r>
        <w:separator/>
      </w:r>
    </w:p>
  </w:endnote>
  <w:endnote w:type="continuationSeparator" w:id="0">
    <w:p w14:paraId="7B194907" w14:textId="77777777" w:rsidR="00C1624E" w:rsidRDefault="00C1624E" w:rsidP="00B70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8B3B2" w14:textId="77777777" w:rsidR="00C1624E" w:rsidRDefault="00C1624E" w:rsidP="00B70F8C">
      <w:pPr>
        <w:spacing w:after="0" w:line="240" w:lineRule="auto"/>
      </w:pPr>
      <w:r>
        <w:separator/>
      </w:r>
    </w:p>
  </w:footnote>
  <w:footnote w:type="continuationSeparator" w:id="0">
    <w:p w14:paraId="58E6EF92" w14:textId="77777777" w:rsidR="00C1624E" w:rsidRDefault="00C1624E" w:rsidP="00B70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66DEF"/>
    <w:multiLevelType w:val="hybridMultilevel"/>
    <w:tmpl w:val="68A030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727498"/>
    <w:multiLevelType w:val="multilevel"/>
    <w:tmpl w:val="FC8886C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128" w:hanging="408"/>
      </w:pPr>
      <w:rPr>
        <w:rFonts w:ascii="Calibri Light" w:hAnsi="Calibri Light" w:cs="Calibri Light"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8B513BF"/>
    <w:multiLevelType w:val="hybridMultilevel"/>
    <w:tmpl w:val="934080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D80A28"/>
    <w:multiLevelType w:val="multilevel"/>
    <w:tmpl w:val="FC8886C0"/>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128" w:hanging="408"/>
      </w:pPr>
      <w:rPr>
        <w:rFonts w:ascii="Calibri Light" w:hAnsi="Calibri Light" w:cs="Calibri Light"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762192638">
    <w:abstractNumId w:val="3"/>
  </w:num>
  <w:num w:numId="2" w16cid:durableId="220673040">
    <w:abstractNumId w:val="0"/>
  </w:num>
  <w:num w:numId="3" w16cid:durableId="352921734">
    <w:abstractNumId w:val="2"/>
  </w:num>
  <w:num w:numId="4" w16cid:durableId="90244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40"/>
    <w:rsid w:val="00002923"/>
    <w:rsid w:val="000921FE"/>
    <w:rsid w:val="00095323"/>
    <w:rsid w:val="001D1D8F"/>
    <w:rsid w:val="001E5140"/>
    <w:rsid w:val="003C2C7D"/>
    <w:rsid w:val="003C7540"/>
    <w:rsid w:val="00485E30"/>
    <w:rsid w:val="00520A04"/>
    <w:rsid w:val="005E2DC8"/>
    <w:rsid w:val="00660786"/>
    <w:rsid w:val="00702F1D"/>
    <w:rsid w:val="007260B5"/>
    <w:rsid w:val="00780ECC"/>
    <w:rsid w:val="0079510F"/>
    <w:rsid w:val="007D446A"/>
    <w:rsid w:val="00994BF9"/>
    <w:rsid w:val="009C18FE"/>
    <w:rsid w:val="00AA6746"/>
    <w:rsid w:val="00AA72C0"/>
    <w:rsid w:val="00B70F8C"/>
    <w:rsid w:val="00B965BF"/>
    <w:rsid w:val="00C1624E"/>
    <w:rsid w:val="00C84A5B"/>
    <w:rsid w:val="00D16F27"/>
    <w:rsid w:val="00D83455"/>
    <w:rsid w:val="00E34C4C"/>
    <w:rsid w:val="00EB414D"/>
    <w:rsid w:val="00F31840"/>
    <w:rsid w:val="00FA6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1B99"/>
  <w15:chartTrackingRefBased/>
  <w15:docId w15:val="{F2D44EA9-A5AF-4750-B329-EB32D604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DC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B965BF"/>
    <w:pPr>
      <w:ind w:left="720"/>
      <w:contextualSpacing/>
    </w:pPr>
  </w:style>
  <w:style w:type="paragraph" w:styleId="Header">
    <w:name w:val="header"/>
    <w:basedOn w:val="Normal"/>
    <w:link w:val="HeaderChar"/>
    <w:uiPriority w:val="99"/>
    <w:unhideWhenUsed/>
    <w:rsid w:val="00B70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C"/>
  </w:style>
  <w:style w:type="paragraph" w:styleId="Footer">
    <w:name w:val="footer"/>
    <w:basedOn w:val="Normal"/>
    <w:link w:val="FooterChar"/>
    <w:uiPriority w:val="99"/>
    <w:unhideWhenUsed/>
    <w:rsid w:val="00B70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71674">
      <w:bodyDiv w:val="1"/>
      <w:marLeft w:val="0"/>
      <w:marRight w:val="0"/>
      <w:marTop w:val="0"/>
      <w:marBottom w:val="0"/>
      <w:divBdr>
        <w:top w:val="none" w:sz="0" w:space="0" w:color="auto"/>
        <w:left w:val="none" w:sz="0" w:space="0" w:color="auto"/>
        <w:bottom w:val="none" w:sz="0" w:space="0" w:color="auto"/>
        <w:right w:val="none" w:sz="0" w:space="0" w:color="auto"/>
      </w:divBdr>
    </w:div>
    <w:div w:id="9562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Juliana (Nairobi)</dc:creator>
  <cp:keywords/>
  <dc:description/>
  <cp:lastModifiedBy>Administrator</cp:lastModifiedBy>
  <cp:revision>19</cp:revision>
  <dcterms:created xsi:type="dcterms:W3CDTF">2024-06-18T16:07:00Z</dcterms:created>
  <dcterms:modified xsi:type="dcterms:W3CDTF">2024-06-18T16:11:00Z</dcterms:modified>
</cp:coreProperties>
</file>