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Pasto, Colombia, 27 October 2026</w:t>
      </w:r>
    </w:p>
    <w:p>
      <w:r>
        <w:rPr>
          <w:b/>
        </w:rPr>
        <w:t>Prof. Annamaria Buonomano</w:t>
        <w:br/>
        <w:t>Editor-in-Chief</w:t>
        <w:br/>
        <w:t>Energy Reports</w:t>
      </w:r>
    </w:p>
    <w:p>
      <w:r>
        <w:t>Re: Revised manuscript EGYR-D-26-02665 — “Physical–statistical characterization of wind power density in complex Andean terrain: A multi-station study in Nariño, Colombia”</w:t>
      </w:r>
    </w:p>
    <w:p>
      <w:r>
        <w:t>Dear Prof. Buonomano,</w:t>
      </w:r>
    </w:p>
    <w:p>
      <w:r>
        <w:t>On behalf of the authors, I am submitting the revised version of manuscript EGYR-D-26-02665 for reconsideration in Energy Reports. We appreciate the opportunity to revise the work. The reviewers’ comments prompted a substantive re-examination of the analysis rather than a cosmetic revision.</w:t>
      </w:r>
    </w:p>
    <w:p>
      <w:r>
        <w:t>Most importantly, the reproducibility audit identified an order-of-operations issue in the submitted preprocessing workflow. Because wind power density depends on the cubic transformation of wind speed, spatial averaging and energetic transformation are not interchangeable. We therefore reconstructed the analysis at station-hour scale, applied quality control before energetic transformation, calculated local WPD before zonal aggregation, and recomputed all dependent analyses from a canonical dataset of 137,811 zone-hour observations. We report this correction transparently in the response letter and revised manuscript.</w:t>
      </w:r>
    </w:p>
    <w:p>
      <w:r>
        <w:t>The revision also adds formal inter-zonal inference, station-composition and leave-one-station-out sensitivity analyses, explicit gap/interpolation diagnostics, dependence-aware bootstrap confidence intervals, updated wind-capacity context, a methodological framework, revised distributional interpretation, and a dedicated discussion of practical scope and future techno-economic work. Claims that were not supported after re-analysis were removed or moderated rather than retained.</w:t>
      </w:r>
    </w:p>
    <w:p>
      <w:r>
        <w:t>The accompanying point-by-point response identifies the action taken, its effect on interpretation where relevant, and the exact location in the clean revised manuscript. A revised supplementary file provides the full Dunn–Holm, station-sensitivity, bootstrap-sensitivity, and spectral tables.</w:t>
      </w:r>
    </w:p>
    <w:p>
      <w:r>
        <w:t>We believe that the revised manuscript is substantially more reproducible, physically consistent, and appropriately bounded in its claims. We respectfully submit it for your reconsideration and thank you for your time in evaluating the revision.</w:t>
      </w:r>
    </w:p>
    <w:p>
      <w:r>
        <w:t>Sincerely,</w:t>
      </w:r>
    </w:p>
    <w:p>
      <w:r>
        <w:rPr>
          <w:b/>
        </w:rPr>
        <w:t>Favio Nicolás Rosero-Rodríguez</w:t>
        <w:br/>
        <w:t>Corresponding author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