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5805" w:rsidRDefault="009319AA">
      <w:pPr>
        <w:jc w:val="right"/>
      </w:pPr>
      <w:r>
        <w:rPr>
          <w:i/>
        </w:rPr>
        <w:t>Pasto, Nariño,</w:t>
      </w:r>
      <w:r>
        <w:rPr>
          <w:i/>
        </w:rPr>
        <w:t xml:space="preserve"> Colombia, 27 October 2026</w:t>
      </w:r>
    </w:p>
    <w:p w:rsidR="00295805" w:rsidRDefault="009319AA">
      <w:pPr>
        <w:jc w:val="center"/>
      </w:pPr>
      <w:r>
        <w:rPr>
          <w:b/>
          <w:sz w:val="32"/>
        </w:rPr>
        <w:t>Response to the Editor and Reviewers</w:t>
      </w:r>
    </w:p>
    <w:p w:rsidR="00295805" w:rsidRDefault="009319AA">
      <w:pPr>
        <w:jc w:val="center"/>
      </w:pPr>
      <w:r>
        <w:rPr>
          <w:b/>
        </w:rPr>
        <w:t>Manuscript EGYR-D-26-02665</w:t>
      </w:r>
    </w:p>
    <w:p w:rsidR="00295805" w:rsidRDefault="009319AA">
      <w:pPr>
        <w:jc w:val="center"/>
      </w:pPr>
      <w:r>
        <w:rPr>
          <w:i/>
        </w:rPr>
        <w:t>Physical–statistical characterization of wind power density in complex Andean terrain: A multi-station study in Nariño, Colombia</w:t>
      </w:r>
    </w:p>
    <w:p w:rsidR="00295805" w:rsidRDefault="009319AA">
      <w:pPr>
        <w:spacing w:after="120"/>
      </w:pPr>
      <w:r>
        <w:t xml:space="preserve">Dear Prof. Annamaria </w:t>
      </w:r>
      <w:r>
        <w:t>Buonomano,</w:t>
      </w:r>
    </w:p>
    <w:p w:rsidR="00295805" w:rsidRDefault="009319AA">
      <w:pPr>
        <w:spacing w:after="140"/>
      </w:pPr>
      <w:r>
        <w:t>We appreciate the careful evaluation of our manuscript and the opportunity to revise it. The comments led us to revisit the work at a deeper level than a conventional textual revision: we re-examined the analytical sequence used to construct WPD</w:t>
      </w:r>
      <w:r>
        <w:t>, the spatial meaning of the zonal summaries, the treatment of temporal dependence and gaps, and the strength of the claims drawn from those results. This process led to additional statistical tests, explicit uncertainty quantification, station-composition</w:t>
      </w:r>
      <w:r>
        <w:t xml:space="preserve"> sensitivity analysis, new figures and supplementary material, updated literature, and a substantial reformulation of the scope and interpretation of the study.</w:t>
      </w:r>
    </w:p>
    <w:p w:rsidR="00295805" w:rsidRDefault="009319AA">
      <w:pPr>
        <w:spacing w:after="140"/>
      </w:pPr>
      <w:r>
        <w:t>During this audit, we identified an order-of-operations issue in the submitted preprocessing wo</w:t>
      </w:r>
      <w:r>
        <w:t>rkflow. In the submitted version, wind-speed quality control and the nonlinear energetic transformation were applied after a level of zonal aggregation. Because wind power density depends on the cube of wind speed, spatial averaging and energetic transform</w:t>
      </w:r>
      <w:r>
        <w:t>ation are not interchangeable operations. We therefore reconstructed the analysis from station-hour observations, applied quality control before aggregation, calculated local station-hour WPD, and only then obtained equal-station zone-hour summaries. Every</w:t>
      </w:r>
      <w:r>
        <w:t xml:space="preserve"> dependent result was recomputed from the revised canonical dataset.</w:t>
      </w:r>
    </w:p>
    <w:p w:rsidR="00295805" w:rsidRDefault="009319AA">
      <w:pPr>
        <w:spacing w:after="160"/>
      </w:pPr>
      <w:r>
        <w:t xml:space="preserve">This correction materially changed several numerical results and, importantly, changed several interpretations. We did not preserve conclusions that were no longer supported. The revised </w:t>
      </w:r>
      <w:r>
        <w:t>manuscript no longer claims extreme energetic dominance of Zone 1, universal Weibull superiority, or stronger global separation by WPD than by wind speed. We believe that this transparent revision substantially improves the physical consistency, reproducib</w:t>
      </w:r>
      <w:r>
        <w:t>ility, and scientific reliability of the manuscript.</w:t>
      </w:r>
    </w:p>
    <w:p w:rsidR="00295805" w:rsidRDefault="009319AA">
      <w:pPr>
        <w:pStyle w:val="Ttulo1"/>
        <w:spacing w:before="160" w:after="100"/>
      </w:pPr>
      <w:r>
        <w:rPr>
          <w:color w:val="1F4E79"/>
        </w:rPr>
        <w:t>Major revisions at a glance</w:t>
      </w:r>
    </w:p>
    <w:tbl>
      <w:tblPr>
        <w:tblStyle w:val="Tablaconcuadrcula"/>
        <w:tblW w:w="9764" w:type="dxa"/>
        <w:jc w:val="center"/>
        <w:tblLayout w:type="fixed"/>
        <w:tblLook w:val="04A0" w:firstRow="1" w:lastRow="0" w:firstColumn="1" w:lastColumn="0" w:noHBand="0" w:noVBand="1"/>
      </w:tblPr>
      <w:tblGrid>
        <w:gridCol w:w="3864"/>
        <w:gridCol w:w="5900"/>
      </w:tblGrid>
      <w:tr w:rsidR="00295805" w:rsidTr="009319AA">
        <w:trPr>
          <w:jc w:val="center"/>
        </w:trPr>
        <w:tc>
          <w:tcPr>
            <w:tcW w:w="3864" w:type="dxa"/>
            <w:shd w:val="clear" w:color="auto" w:fill="1F4E79"/>
          </w:tcPr>
          <w:p w:rsidR="00295805" w:rsidRDefault="009319AA">
            <w:r>
              <w:rPr>
                <w:b/>
                <w:color w:val="FFFFFF"/>
              </w:rPr>
              <w:t>Revision area</w:t>
            </w:r>
          </w:p>
        </w:tc>
        <w:tc>
          <w:tcPr>
            <w:tcW w:w="5900" w:type="dxa"/>
            <w:shd w:val="clear" w:color="auto" w:fill="1F4E79"/>
          </w:tcPr>
          <w:p w:rsidR="00295805" w:rsidRDefault="009319AA">
            <w:r>
              <w:rPr>
                <w:b/>
                <w:color w:val="FFFFFF"/>
              </w:rPr>
              <w:t>What changed</w:t>
            </w:r>
          </w:p>
        </w:tc>
      </w:tr>
      <w:tr w:rsidR="00295805" w:rsidTr="009319AA">
        <w:trPr>
          <w:jc w:val="center"/>
        </w:trPr>
        <w:tc>
          <w:tcPr>
            <w:tcW w:w="3864" w:type="dxa"/>
            <w:tcMar>
              <w:top w:w="80" w:type="dxa"/>
              <w:left w:w="90" w:type="dxa"/>
              <w:bottom w:w="80" w:type="dxa"/>
              <w:right w:w="90" w:type="dxa"/>
            </w:tcMar>
          </w:tcPr>
          <w:p w:rsidR="00295805" w:rsidRDefault="009319AA">
            <w:r>
              <w:t>Physical construction of WPD</w:t>
            </w:r>
          </w:p>
        </w:tc>
        <w:tc>
          <w:tcPr>
            <w:tcW w:w="5900" w:type="dxa"/>
            <w:tcMar>
              <w:top w:w="80" w:type="dxa"/>
              <w:left w:w="90" w:type="dxa"/>
              <w:bottom w:w="80" w:type="dxa"/>
              <w:right w:w="90" w:type="dxa"/>
            </w:tcMar>
          </w:tcPr>
          <w:p w:rsidR="00295805" w:rsidRDefault="009319AA">
            <w:r>
              <w:t>Quality control is now applied at station-hour scale before local WPD calculation and before zonal aggregation.</w:t>
            </w:r>
          </w:p>
        </w:tc>
      </w:tr>
      <w:tr w:rsidR="00295805" w:rsidTr="009319AA">
        <w:trPr>
          <w:jc w:val="center"/>
        </w:trPr>
        <w:tc>
          <w:tcPr>
            <w:tcW w:w="3864" w:type="dxa"/>
            <w:tcMar>
              <w:top w:w="80" w:type="dxa"/>
              <w:left w:w="90" w:type="dxa"/>
              <w:bottom w:w="80" w:type="dxa"/>
              <w:right w:w="90" w:type="dxa"/>
            </w:tcMar>
          </w:tcPr>
          <w:p w:rsidR="00295805" w:rsidRDefault="009319AA">
            <w:r>
              <w:t>Canonical revised dataset</w:t>
            </w:r>
            <w:bookmarkStart w:id="0" w:name="_GoBack"/>
            <w:bookmarkEnd w:id="0"/>
          </w:p>
        </w:tc>
        <w:tc>
          <w:tcPr>
            <w:tcW w:w="5900" w:type="dxa"/>
            <w:tcMar>
              <w:top w:w="80" w:type="dxa"/>
              <w:left w:w="90" w:type="dxa"/>
              <w:bottom w:w="80" w:type="dxa"/>
              <w:right w:w="90" w:type="dxa"/>
            </w:tcMar>
          </w:tcPr>
          <w:p w:rsidR="00295805" w:rsidRDefault="009319AA">
            <w:r>
              <w:t>All analyses were recomputed from 137,811 zone-hour observations.</w:t>
            </w:r>
          </w:p>
        </w:tc>
      </w:tr>
      <w:tr w:rsidR="00295805" w:rsidTr="009319AA">
        <w:trPr>
          <w:jc w:val="center"/>
        </w:trPr>
        <w:tc>
          <w:tcPr>
            <w:tcW w:w="3864" w:type="dxa"/>
            <w:tcMar>
              <w:top w:w="80" w:type="dxa"/>
              <w:left w:w="90" w:type="dxa"/>
              <w:bottom w:w="80" w:type="dxa"/>
              <w:right w:w="90" w:type="dxa"/>
            </w:tcMar>
          </w:tcPr>
          <w:p w:rsidR="00295805" w:rsidRDefault="009319AA">
            <w:r>
              <w:t>Spatial/network sensitivity</w:t>
            </w:r>
          </w:p>
        </w:tc>
        <w:tc>
          <w:tcPr>
            <w:tcW w:w="5900" w:type="dxa"/>
            <w:tcMar>
              <w:top w:w="80" w:type="dxa"/>
              <w:left w:w="90" w:type="dxa"/>
              <w:bottom w:w="80" w:type="dxa"/>
              <w:right w:w="90" w:type="dxa"/>
            </w:tcMar>
          </w:tcPr>
          <w:p w:rsidR="00295805" w:rsidRDefault="009319AA">
            <w:r>
              <w:t>Direct station contribution, paired-support LOSO, and co-observed LOSO analyses were added.</w:t>
            </w:r>
          </w:p>
        </w:tc>
      </w:tr>
      <w:tr w:rsidR="00295805" w:rsidTr="009319AA">
        <w:trPr>
          <w:jc w:val="center"/>
        </w:trPr>
        <w:tc>
          <w:tcPr>
            <w:tcW w:w="3864" w:type="dxa"/>
            <w:tcMar>
              <w:top w:w="80" w:type="dxa"/>
              <w:left w:w="90" w:type="dxa"/>
              <w:bottom w:w="80" w:type="dxa"/>
              <w:right w:w="90" w:type="dxa"/>
            </w:tcMar>
          </w:tcPr>
          <w:p w:rsidR="00295805" w:rsidRDefault="009319AA">
            <w:r>
              <w:t>Formal inference</w:t>
            </w:r>
          </w:p>
        </w:tc>
        <w:tc>
          <w:tcPr>
            <w:tcW w:w="5900" w:type="dxa"/>
            <w:tcMar>
              <w:top w:w="80" w:type="dxa"/>
              <w:left w:w="90" w:type="dxa"/>
              <w:bottom w:w="80" w:type="dxa"/>
              <w:right w:w="90" w:type="dxa"/>
            </w:tcMar>
          </w:tcPr>
          <w:p w:rsidR="00295805" w:rsidRDefault="009319AA">
            <w:r>
              <w:t>Kruskal–Wallis tests, Dun</w:t>
            </w:r>
            <w:r>
              <w:t>n–Holm pairwise comparisons, and epsilon-squared effect sizes were added.</w:t>
            </w:r>
          </w:p>
        </w:tc>
      </w:tr>
      <w:tr w:rsidR="00295805" w:rsidTr="009319AA">
        <w:trPr>
          <w:jc w:val="center"/>
        </w:trPr>
        <w:tc>
          <w:tcPr>
            <w:tcW w:w="3864" w:type="dxa"/>
            <w:tcMar>
              <w:top w:w="80" w:type="dxa"/>
              <w:left w:w="90" w:type="dxa"/>
              <w:bottom w:w="80" w:type="dxa"/>
              <w:right w:w="90" w:type="dxa"/>
            </w:tcMar>
          </w:tcPr>
          <w:p w:rsidR="00295805" w:rsidRDefault="009319AA">
            <w:r>
              <w:t>Temporal-gap robustness</w:t>
            </w:r>
          </w:p>
        </w:tc>
        <w:tc>
          <w:tcPr>
            <w:tcW w:w="5900" w:type="dxa"/>
            <w:tcMar>
              <w:top w:w="80" w:type="dxa"/>
              <w:left w:w="90" w:type="dxa"/>
              <w:bottom w:w="80" w:type="dxa"/>
              <w:right w:w="90" w:type="dxa"/>
            </w:tcMar>
          </w:tcPr>
          <w:p w:rsidR="00295805" w:rsidRDefault="009319AA">
            <w:r>
              <w:t>Calendar coverage, maximum gaps, interpolation fraction, and observed-vs-interpolated correlation sensitivity are now reported.</w:t>
            </w:r>
          </w:p>
        </w:tc>
      </w:tr>
      <w:tr w:rsidR="00295805" w:rsidTr="009319AA">
        <w:trPr>
          <w:jc w:val="center"/>
        </w:trPr>
        <w:tc>
          <w:tcPr>
            <w:tcW w:w="3864" w:type="dxa"/>
            <w:tcMar>
              <w:top w:w="80" w:type="dxa"/>
              <w:left w:w="90" w:type="dxa"/>
              <w:bottom w:w="80" w:type="dxa"/>
              <w:right w:w="90" w:type="dxa"/>
            </w:tcMar>
          </w:tcPr>
          <w:p w:rsidR="00295805" w:rsidRDefault="009319AA">
            <w:r>
              <w:t>Uncertainty</w:t>
            </w:r>
          </w:p>
        </w:tc>
        <w:tc>
          <w:tcPr>
            <w:tcW w:w="5900" w:type="dxa"/>
            <w:tcMar>
              <w:top w:w="80" w:type="dxa"/>
              <w:left w:w="90" w:type="dxa"/>
              <w:bottom w:w="80" w:type="dxa"/>
              <w:right w:w="90" w:type="dxa"/>
            </w:tcMar>
          </w:tcPr>
          <w:p w:rsidR="00295805" w:rsidRDefault="009319AA">
            <w:r>
              <w:t>Dependence-aware</w:t>
            </w:r>
            <w:r>
              <w:t xml:space="preserve"> run-stratified circular moving-block bootstrap confidence intervals were added for mean WPD and Weibull k.</w:t>
            </w:r>
          </w:p>
        </w:tc>
      </w:tr>
      <w:tr w:rsidR="00295805" w:rsidTr="009319AA">
        <w:trPr>
          <w:jc w:val="center"/>
        </w:trPr>
        <w:tc>
          <w:tcPr>
            <w:tcW w:w="3864" w:type="dxa"/>
            <w:tcMar>
              <w:top w:w="80" w:type="dxa"/>
              <w:left w:w="90" w:type="dxa"/>
              <w:bottom w:w="80" w:type="dxa"/>
              <w:right w:w="90" w:type="dxa"/>
            </w:tcMar>
          </w:tcPr>
          <w:p w:rsidR="00295805" w:rsidRDefault="009319AA">
            <w:r>
              <w:t>Interpretation and scope</w:t>
            </w:r>
          </w:p>
        </w:tc>
        <w:tc>
          <w:tcPr>
            <w:tcW w:w="5900" w:type="dxa"/>
            <w:tcMar>
              <w:top w:w="80" w:type="dxa"/>
              <w:left w:w="90" w:type="dxa"/>
              <w:bottom w:w="80" w:type="dxa"/>
              <w:right w:w="90" w:type="dxa"/>
            </w:tcMar>
          </w:tcPr>
          <w:p w:rsidR="00295805" w:rsidRDefault="009319AA">
            <w:r>
              <w:t>Claims were moderated; analytical zones are now explicitly treated as comparative aggregation units, and turbine-level tec</w:t>
            </w:r>
            <w:r>
              <w:t>hno-</w:t>
            </w:r>
            <w:r>
              <w:lastRenderedPageBreak/>
              <w:t>economic inference is delimited to future work.</w:t>
            </w:r>
          </w:p>
        </w:tc>
      </w:tr>
    </w:tbl>
    <w:p w:rsidR="00295805" w:rsidRDefault="00295805"/>
    <w:p w:rsidR="00295805" w:rsidRDefault="009319AA">
      <w:pPr>
        <w:spacing w:after="160"/>
      </w:pPr>
      <w:r>
        <w:rPr>
          <w:i/>
          <w:color w:val="555555"/>
        </w:rPr>
        <w:t>Locations below refer to the 22-page clean revised manuscript. Because that file is not line-numbered, we identify changes by page, section, table, figure, and supplementary item. This avoids unstable line references after final production formatting.</w:t>
      </w:r>
      <w:r>
        <w:rPr>
          <w:i/>
          <w:color w:val="555555"/>
        </w:rPr>
      </w:r>
    </w:p>
    <w:p w:rsidR="00295805" w:rsidRDefault="009319AA">
      <w:pPr>
        <w:pStyle w:val="Ttulo1"/>
        <w:spacing w:before="160" w:after="100"/>
      </w:pPr>
      <w:r>
        <w:rPr>
          <w:color w:val="1F4E79"/>
        </w:rPr>
        <w:t>Editor-in-Chief requirement</w:t>
      </w:r>
    </w:p>
    <w:p w:rsidR="00295805" w:rsidRDefault="009319AA">
      <w:pPr>
        <w:spacing w:after="80"/>
      </w:pPr>
      <w:r>
        <w:rPr>
          <w:b/>
          <w:color w:val="1F4E79"/>
        </w:rPr>
        <w:t xml:space="preserve">Response. </w:t>
      </w:r>
      <w:r>
        <w:t>We acknowledge the Editor-in-Chief policy requiring authorship confirmation and official institutional email addresses for all affiliated authors.</w:t>
      </w:r>
    </w:p>
    <w:p w:rsidR="00295805" w:rsidRDefault="009319AA">
      <w:pPr>
        <w:spacing w:after="80"/>
      </w:pPr>
      <w:r>
        <w:rPr>
          <w:b/>
          <w:color w:val="1F4E79"/>
        </w:rPr>
        <w:t xml:space="preserve">Action taken. </w:t>
      </w:r>
      <w:r>
        <w:t xml:space="preserve">Before </w:t>
      </w:r>
      <w:r>
        <w:t>resubmission, we will verify that every listed author has completed the authorship-confirmation link sent by Editorial Manager and that official institutional email addresses are entered where applicable.</w:t>
      </w:r>
    </w:p>
    <w:p w:rsidR="00295805" w:rsidRDefault="009319AA">
      <w:pPr>
        <w:spacing w:after="80"/>
      </w:pPr>
      <w:r>
        <w:rPr>
          <w:b/>
          <w:color w:val="1F4E79"/>
        </w:rPr>
        <w:t xml:space="preserve">Location in revised manuscript. </w:t>
      </w:r>
      <w:r>
        <w:t>Administrative resu</w:t>
      </w:r>
      <w:r>
        <w:t>bmission requirement; no scientific manuscript location.</w:t>
      </w:r>
    </w:p>
    <w:p w:rsidR="00295805" w:rsidRDefault="00295805">
      <w:pPr>
        <w:spacing w:after="100"/>
      </w:pPr>
    </w:p>
    <w:p w:rsidR="00295805" w:rsidRDefault="009319AA">
      <w:pPr>
        <w:pStyle w:val="Ttulo1"/>
        <w:spacing w:before="160" w:after="100"/>
      </w:pPr>
      <w:r>
        <w:rPr>
          <w:color w:val="1F4E79"/>
        </w:rPr>
        <w:t>Reviewer #2</w:t>
      </w:r>
    </w:p>
    <w:tbl>
      <w:tblPr>
        <w:tblW w:w="0" w:type="auto"/>
        <w:jc w:val="center"/>
        <w:tblLayout w:type="fixed"/>
        <w:tblLook w:val="04A0" w:firstRow="1" w:lastRow="0" w:firstColumn="1" w:lastColumn="0" w:noHBand="0" w:noVBand="1"/>
      </w:tblPr>
      <w:tblGrid>
        <w:gridCol w:w="9792"/>
      </w:tblGrid>
      <w:tr w:rsidR="00295805">
        <w:trPr>
          <w:jc w:val="center"/>
        </w:trPr>
        <w:tc>
          <w:tcPr>
            <w:tcW w:w="9792" w:type="dxa"/>
            <w:shd w:val="clear" w:color="auto" w:fill="F2F2F2"/>
            <w:tcMar>
              <w:top w:w="120" w:type="dxa"/>
              <w:left w:w="140" w:type="dxa"/>
              <w:bottom w:w="120" w:type="dxa"/>
              <w:right w:w="140" w:type="dxa"/>
            </w:tcMar>
            <w:vAlign w:val="center"/>
          </w:tcPr>
          <w:p w:rsidR="00295805" w:rsidRDefault="009319AA">
            <w:pPr>
              <w:spacing w:after="0"/>
            </w:pPr>
            <w:r>
              <w:rPr>
                <w:b/>
                <w:color w:val="1F4E79"/>
              </w:rPr>
              <w:t xml:space="preserve">Comment 1. </w:t>
            </w:r>
            <w:r>
              <w:t>Introduction - Global and Local Wind Energy Capacity: To provide a stronger background and better establish the growing importance of wind energy, the authors are encouraged t</w:t>
            </w:r>
            <w:r>
              <w:t>o include figures illustrating the global and local/regional installed wind energy capacity in the Introduction section. Reliable and authoritative sources, such as IRENA or relevant national agencies, should be used for the reported statistics.</w:t>
            </w:r>
          </w:p>
        </w:tc>
      </w:tr>
    </w:tbl>
    <w:p w:rsidR="00295805" w:rsidRDefault="00295805">
      <w:pPr>
        <w:spacing w:after="20"/>
      </w:pPr>
    </w:p>
    <w:p w:rsidR="00295805" w:rsidRDefault="009319AA">
      <w:pPr>
        <w:spacing w:after="80"/>
      </w:pPr>
      <w:r>
        <w:t>Response</w:t>
      </w:r>
      <w:r>
        <w:t>. This suggestion strengthened the motivation of the manuscript. The Introduction now includes current installed wind-capacity statistics at global, South American, and Colombian scales using IRENA data. Installed capacity and favourable development potent</w:t>
      </w:r>
      <w:r>
        <w:t>ial are treated separately so that national deployment is not used as a proxy for the underlying wind resource.</w:t>
      </w:r>
    </w:p>
    <w:p w:rsidR="00295805" w:rsidRDefault="009319AA">
      <w:pPr>
        <w:spacing w:after="80"/>
      </w:pPr>
      <w:r>
        <w:rPr>
          <w:b/>
          <w:color w:val="1F4E79"/>
        </w:rPr>
        <w:t xml:space="preserve">Action taken. </w:t>
      </w:r>
      <w:r>
        <w:t>A new three-panel figure was added for 2016–2025. The text reports the 2025 context and separately discusses the IRENA zoning esti</w:t>
      </w:r>
      <w:r>
        <w:t>mate of approximately 31.5 GW maximum onshore development potential for Colombia.</w:t>
      </w:r>
    </w:p>
    <w:p w:rsidR="00295805" w:rsidRDefault="009319AA">
      <w:pPr>
        <w:spacing w:after="80"/>
      </w:pPr>
      <w:r>
        <w:rPr>
          <w:b/>
          <w:color w:val="1F4E79"/>
        </w:rPr>
        <w:t xml:space="preserve">Effect on interpretation. </w:t>
      </w:r>
      <w:r>
        <w:t>The contextual framing is stronger without implying that low installed Colombian capacity means low wind-resource potential.</w:t>
      </w:r>
    </w:p>
    <w:p w:rsidR="00295805" w:rsidRDefault="009319AA">
      <w:pPr>
        <w:spacing w:after="80"/>
      </w:pPr>
      <w:r>
        <w:rPr>
          <w:b/>
          <w:color w:val="1F4E79"/>
        </w:rPr>
        <w:t>Location in revised man</w:t>
      </w:r>
      <w:r>
        <w:rPr>
          <w:b/>
          <w:color w:val="1F4E79"/>
        </w:rPr>
        <w:t xml:space="preserve">uscript. </w:t>
      </w:r>
      <w:r>
        <w:t>Pages 1–2, Introduction; Figure 1; References: IRENA (2025, 2026).</w:t>
      </w:r>
    </w:p>
    <w:p w:rsidR="00295805" w:rsidRDefault="00295805">
      <w:pPr>
        <w:spacing w:after="100"/>
      </w:pPr>
    </w:p>
    <w:tbl>
      <w:tblPr>
        <w:tblW w:w="0" w:type="auto"/>
        <w:jc w:val="center"/>
        <w:tblLayout w:type="fixed"/>
        <w:tblLook w:val="04A0" w:firstRow="1" w:lastRow="0" w:firstColumn="1" w:lastColumn="0" w:noHBand="0" w:noVBand="1"/>
      </w:tblPr>
      <w:tblGrid>
        <w:gridCol w:w="9792"/>
      </w:tblGrid>
      <w:tr w:rsidR="00295805">
        <w:trPr>
          <w:jc w:val="center"/>
        </w:trPr>
        <w:tc>
          <w:tcPr>
            <w:tcW w:w="9792" w:type="dxa"/>
            <w:shd w:val="clear" w:color="auto" w:fill="F2F2F2"/>
            <w:tcMar>
              <w:top w:w="120" w:type="dxa"/>
              <w:left w:w="140" w:type="dxa"/>
              <w:bottom w:w="120" w:type="dxa"/>
              <w:right w:w="140" w:type="dxa"/>
            </w:tcMar>
            <w:vAlign w:val="center"/>
          </w:tcPr>
          <w:p w:rsidR="00295805" w:rsidRDefault="009319AA">
            <w:pPr>
              <w:spacing w:after="0"/>
            </w:pPr>
            <w:r>
              <w:rPr>
                <w:b/>
                <w:color w:val="1F4E79"/>
              </w:rPr>
              <w:t xml:space="preserve">Comment 2. </w:t>
            </w:r>
            <w:r>
              <w:t>The scientific novelty and research gap positioning require further strengthening. It is recommended to revise and synthesize the concluding paragraph of the Introducti</w:t>
            </w:r>
            <w:r>
              <w:t>on so that it clearly identifies the limitations or gaps in existing studies and explicitly positions the present work relative to previous research.</w:t>
            </w:r>
          </w:p>
        </w:tc>
      </w:tr>
    </w:tbl>
    <w:p w:rsidR="00295805" w:rsidRDefault="00295805">
      <w:pPr>
        <w:spacing w:after="20"/>
      </w:pPr>
    </w:p>
    <w:p w:rsidR="00295805" w:rsidRDefault="009319AA">
      <w:pPr>
        <w:spacing w:after="80"/>
      </w:pPr>
      <w:r>
        <w:t>Response. We share the reviewer’s concern that novelty should not rest on combining methods that are alr</w:t>
      </w:r>
      <w:r>
        <w:t>eady established. The revised manuscript therefore frames the research gap around the analytical architecture that connects physical transformation, observational-network composition, temporal dependence, and uncertainty in a heterogeneous monitoring netwo</w:t>
      </w:r>
      <w:r>
        <w:t>rk.</w:t>
      </w:r>
    </w:p>
    <w:p w:rsidR="00295805" w:rsidRDefault="009319AA">
      <w:pPr>
        <w:spacing w:after="80"/>
      </w:pPr>
      <w:r>
        <w:rPr>
          <w:b/>
          <w:color w:val="1F4E79"/>
        </w:rPr>
        <w:t xml:space="preserve">Action taken. </w:t>
      </w:r>
      <w:r>
        <w:t xml:space="preserve">The final Introduction now identifies the consequences of nonlinear transformation, order of quality control and aggregation, unequal station composition, missing intervals, serial dependence, and dependence-aware </w:t>
      </w:r>
      <w:r>
        <w:lastRenderedPageBreak/>
        <w:t xml:space="preserve">uncertainty. The </w:t>
      </w:r>
      <w:r>
        <w:t>contribution is stated as methodological and interpretative rather than as a new probability distribution or time-series algorithm.</w:t>
      </w:r>
    </w:p>
    <w:p w:rsidR="00295805" w:rsidRDefault="009319AA">
      <w:pPr>
        <w:spacing w:after="80"/>
      </w:pPr>
      <w:r>
        <w:rPr>
          <w:b/>
          <w:color w:val="1F4E79"/>
        </w:rPr>
        <w:t xml:space="preserve">Effect on interpretation. </w:t>
      </w:r>
      <w:r>
        <w:t xml:space="preserve">The study is positioned around a transferable methodological principle for complex terrain rather </w:t>
      </w:r>
      <w:r>
        <w:t>than around novelty-by-method-count.</w:t>
      </w:r>
    </w:p>
    <w:p w:rsidR="00295805" w:rsidRDefault="009319AA">
      <w:pPr>
        <w:spacing w:after="80"/>
      </w:pPr>
      <w:r>
        <w:rPr>
          <w:b/>
          <w:color w:val="1F4E79"/>
        </w:rPr>
        <w:t xml:space="preserve">Location in revised manuscript. </w:t>
      </w:r>
      <w:r>
        <w:t>Pages 2–3, final paragraphs of the Introduction.</w:t>
      </w:r>
    </w:p>
    <w:p w:rsidR="00295805" w:rsidRDefault="00295805">
      <w:pPr>
        <w:spacing w:after="100"/>
      </w:pPr>
    </w:p>
    <w:tbl>
      <w:tblPr>
        <w:tblW w:w="0" w:type="auto"/>
        <w:jc w:val="center"/>
        <w:tblLayout w:type="fixed"/>
        <w:tblLook w:val="04A0" w:firstRow="1" w:lastRow="0" w:firstColumn="1" w:lastColumn="0" w:noHBand="0" w:noVBand="1"/>
      </w:tblPr>
      <w:tblGrid>
        <w:gridCol w:w="9792"/>
      </w:tblGrid>
      <w:tr w:rsidR="00295805">
        <w:trPr>
          <w:jc w:val="center"/>
        </w:trPr>
        <w:tc>
          <w:tcPr>
            <w:tcW w:w="9792" w:type="dxa"/>
            <w:shd w:val="clear" w:color="auto" w:fill="F2F2F2"/>
            <w:tcMar>
              <w:top w:w="120" w:type="dxa"/>
              <w:left w:w="140" w:type="dxa"/>
              <w:bottom w:w="120" w:type="dxa"/>
              <w:right w:w="140" w:type="dxa"/>
            </w:tcMar>
            <w:vAlign w:val="center"/>
          </w:tcPr>
          <w:p w:rsidR="00295805" w:rsidRDefault="009319AA">
            <w:pPr>
              <w:spacing w:after="0"/>
            </w:pPr>
            <w:r>
              <w:rPr>
                <w:b/>
                <w:color w:val="1F4E79"/>
              </w:rPr>
              <w:t xml:space="preserve">Comment 3. </w:t>
            </w:r>
            <w:r>
              <w:t xml:space="preserve">Methodological Framework: The inclusion of a schematic methodological framework or flowchart is strongly recommended. Such a </w:t>
            </w:r>
            <w:r>
              <w:t>figure would provide a clear visual representation of the overall workflow.</w:t>
            </w:r>
          </w:p>
        </w:tc>
      </w:tr>
    </w:tbl>
    <w:p w:rsidR="00295805" w:rsidRDefault="00295805">
      <w:pPr>
        <w:spacing w:after="20"/>
      </w:pPr>
    </w:p>
    <w:p w:rsidR="00295805" w:rsidRDefault="009319AA">
      <w:pPr>
        <w:spacing w:after="80"/>
      </w:pPr>
      <w:r>
        <w:t>Response. We implemented this recommendation.</w:t>
      </w:r>
    </w:p>
    <w:p w:rsidR="00295805" w:rsidRDefault="009319AA">
      <w:pPr>
        <w:spacing w:after="80"/>
      </w:pPr>
      <w:r>
        <w:rPr>
          <w:b/>
          <w:color w:val="1F4E79"/>
        </w:rPr>
        <w:t xml:space="preserve">Action taken. </w:t>
      </w:r>
      <w:r>
        <w:t>A new methodological framework was added. It shows raw wind observations, station-hour construction, air-density estim</w:t>
      </w:r>
      <w:r>
        <w:t>ation, station-level quality control, local energetic transformation, equal-station zone-hour aggregation, station-composition sensitivity, statistical analysis, temporal/spectral analysis, dependence-aware uncertainty, and reproducible outputs. The non-co</w:t>
      </w:r>
      <w:r>
        <w:t>mmutativity of averaging and the cubic transformation is shown explicitly.</w:t>
      </w:r>
    </w:p>
    <w:p w:rsidR="00295805" w:rsidRDefault="009319AA">
      <w:pPr>
        <w:spacing w:after="80"/>
      </w:pPr>
      <w:r>
        <w:rPr>
          <w:b/>
          <w:color w:val="1F4E79"/>
        </w:rPr>
        <w:t xml:space="preserve">Effect on interpretation. </w:t>
      </w:r>
      <w:r>
        <w:t>The revised workflow can now be audited visually, including the key physical ordering of quality control and local WPD calculation before aggregation.</w:t>
      </w:r>
    </w:p>
    <w:p w:rsidR="00295805" w:rsidRDefault="009319AA">
      <w:pPr>
        <w:spacing w:after="80"/>
      </w:pPr>
      <w:r>
        <w:rPr>
          <w:b/>
          <w:color w:val="1F4E79"/>
        </w:rPr>
        <w:t>Loca</w:t>
      </w:r>
      <w:r>
        <w:rPr>
          <w:b/>
          <w:color w:val="1F4E79"/>
        </w:rPr>
        <w:t xml:space="preserve">tion in revised manuscript. </w:t>
      </w:r>
      <w:r>
        <w:t>Pages 5–6, Section 3 and Figure 3.</w:t>
      </w:r>
    </w:p>
    <w:p w:rsidR="00295805" w:rsidRDefault="00295805">
      <w:pPr>
        <w:spacing w:after="100"/>
      </w:pPr>
    </w:p>
    <w:tbl>
      <w:tblPr>
        <w:tblW w:w="0" w:type="auto"/>
        <w:jc w:val="center"/>
        <w:tblLayout w:type="fixed"/>
        <w:tblLook w:val="04A0" w:firstRow="1" w:lastRow="0" w:firstColumn="1" w:lastColumn="0" w:noHBand="0" w:noVBand="1"/>
      </w:tblPr>
      <w:tblGrid>
        <w:gridCol w:w="9792"/>
      </w:tblGrid>
      <w:tr w:rsidR="00295805">
        <w:trPr>
          <w:jc w:val="center"/>
        </w:trPr>
        <w:tc>
          <w:tcPr>
            <w:tcW w:w="9792" w:type="dxa"/>
            <w:shd w:val="clear" w:color="auto" w:fill="F2F2F2"/>
            <w:tcMar>
              <w:top w:w="120" w:type="dxa"/>
              <w:left w:w="140" w:type="dxa"/>
              <w:bottom w:w="120" w:type="dxa"/>
              <w:right w:w="140" w:type="dxa"/>
            </w:tcMar>
            <w:vAlign w:val="center"/>
          </w:tcPr>
          <w:p w:rsidR="00295805" w:rsidRDefault="009319AA">
            <w:pPr>
              <w:spacing w:after="0"/>
            </w:pPr>
            <w:r>
              <w:rPr>
                <w:b/>
                <w:color w:val="1F4E79"/>
              </w:rPr>
              <w:t xml:space="preserve">Comment 4. </w:t>
            </w:r>
            <w:r>
              <w:t>Notation and Formatting of Symbols: Please carefully check the manuscript for the formatting of mathematical symbols. Variables and symbols such as c, k, and other mathematical para</w:t>
            </w:r>
            <w:r>
              <w:t>meters should consistently be presented in italic font in accordance with standard scientific notation.</w:t>
            </w:r>
          </w:p>
        </w:tc>
      </w:tr>
    </w:tbl>
    <w:p w:rsidR="00295805" w:rsidRDefault="00295805">
      <w:pPr>
        <w:spacing w:after="20"/>
      </w:pPr>
    </w:p>
    <w:p w:rsidR="00295805" w:rsidRDefault="009319AA">
      <w:pPr>
        <w:spacing w:after="80"/>
      </w:pPr>
      <w:r>
        <w:t>Response. We implemented this recommendation.</w:t>
      </w:r>
    </w:p>
    <w:p w:rsidR="00295805" w:rsidRDefault="009319AA">
      <w:pPr>
        <w:spacing w:after="80"/>
      </w:pPr>
      <w:r>
        <w:rPr>
          <w:b/>
          <w:color w:val="1F4E79"/>
        </w:rPr>
        <w:t xml:space="preserve">Action taken. </w:t>
      </w:r>
      <w:r>
        <w:t xml:space="preserve">Mathematical notation was audited throughout the revised manuscript. Scalar variables and </w:t>
      </w:r>
      <w:r>
        <w:t>fitted parameters are formatted as mathematical symbols, including v, rho, k, and sigma where applicable; units and textual labels remain in roman type. Table 3 was also reformatted to distinguish Weibull k and Rayleigh sigma consistently.</w:t>
      </w:r>
    </w:p>
    <w:p w:rsidR="00295805" w:rsidRDefault="009319AA">
      <w:pPr>
        <w:spacing w:after="80"/>
      </w:pPr>
      <w:r>
        <w:rPr>
          <w:b/>
          <w:color w:val="1F4E79"/>
        </w:rPr>
        <w:t>Effect on interp</w:t>
      </w:r>
      <w:r>
        <w:rPr>
          <w:b/>
          <w:color w:val="1F4E79"/>
        </w:rPr>
        <w:t xml:space="preserve">retation. </w:t>
      </w:r>
      <w:r>
        <w:t>No scientific interpretation changed; this is a notation and presentation correction.</w:t>
      </w:r>
    </w:p>
    <w:p w:rsidR="00295805" w:rsidRDefault="009319AA">
      <w:pPr>
        <w:spacing w:after="80"/>
      </w:pPr>
      <w:r>
        <w:rPr>
          <w:b/>
          <w:color w:val="1F4E79"/>
        </w:rPr>
        <w:t xml:space="preserve">Location in revised manuscript. </w:t>
      </w:r>
      <w:r>
        <w:t>Throughout Methods and Results; especially pages 6–9 and Table 3 on page 13.</w:t>
      </w:r>
    </w:p>
    <w:p w:rsidR="00295805" w:rsidRDefault="00295805">
      <w:pPr>
        <w:spacing w:after="100"/>
      </w:pPr>
    </w:p>
    <w:tbl>
      <w:tblPr>
        <w:tblW w:w="0" w:type="auto"/>
        <w:jc w:val="center"/>
        <w:tblLayout w:type="fixed"/>
        <w:tblLook w:val="04A0" w:firstRow="1" w:lastRow="0" w:firstColumn="1" w:lastColumn="0" w:noHBand="0" w:noVBand="1"/>
      </w:tblPr>
      <w:tblGrid>
        <w:gridCol w:w="9792"/>
      </w:tblGrid>
      <w:tr w:rsidR="00295805">
        <w:trPr>
          <w:jc w:val="center"/>
        </w:trPr>
        <w:tc>
          <w:tcPr>
            <w:tcW w:w="9792" w:type="dxa"/>
            <w:shd w:val="clear" w:color="auto" w:fill="F2F2F2"/>
            <w:tcMar>
              <w:top w:w="120" w:type="dxa"/>
              <w:left w:w="140" w:type="dxa"/>
              <w:bottom w:w="120" w:type="dxa"/>
              <w:right w:w="140" w:type="dxa"/>
            </w:tcMar>
            <w:vAlign w:val="center"/>
          </w:tcPr>
          <w:p w:rsidR="00295805" w:rsidRDefault="009319AA">
            <w:pPr>
              <w:spacing w:after="0"/>
            </w:pPr>
            <w:r>
              <w:rPr>
                <w:b/>
                <w:color w:val="1F4E79"/>
              </w:rPr>
              <w:t xml:space="preserve">Comment 5. </w:t>
            </w:r>
            <w:r>
              <w:t>Introduction - Recent and Relevant Lite</w:t>
            </w:r>
            <w:r>
              <w:t>rature: The Introduction section would benefit from a more comprehensive discussion of recent and relevant literature. In particular, the authors may consider incorporating the studies on integrated wind-resource assessment, turbine selection, and machine-</w:t>
            </w:r>
            <w:r>
              <w:t>learning wind-speed prediction listed by the reviewer.</w:t>
            </w:r>
          </w:p>
        </w:tc>
      </w:tr>
    </w:tbl>
    <w:p w:rsidR="00295805" w:rsidRDefault="00295805">
      <w:pPr>
        <w:spacing w:after="20"/>
      </w:pPr>
    </w:p>
    <w:p w:rsidR="00295805" w:rsidRDefault="009319AA">
      <w:pPr>
        <w:spacing w:after="80"/>
      </w:pPr>
      <w:r>
        <w:t>Response. We incorporated the suggested literature and used it to sharpen the distinction between resource characterization, turbine-level assessment, and forecasting.</w:t>
      </w:r>
    </w:p>
    <w:p w:rsidR="00295805" w:rsidRDefault="009319AA">
      <w:pPr>
        <w:spacing w:after="80"/>
      </w:pPr>
      <w:r>
        <w:rPr>
          <w:b/>
          <w:color w:val="1F4E79"/>
        </w:rPr>
        <w:t xml:space="preserve">Action taken. </w:t>
      </w:r>
      <w:r>
        <w:t xml:space="preserve">The Introduction </w:t>
      </w:r>
      <w:r>
        <w:t>now incorporates the suggested literature to distinguish three levels of evidence: statistical resource characterization, turbine-specific energy/techno-economic assessment, and forecasting. Gugliani et al. is used for integrated resource characterization;</w:t>
      </w:r>
      <w:r>
        <w:t xml:space="preserve"> the recent Gupta et al. studies are used to position turbine-selection/techno-economic and machine-learning forecasting layers.</w:t>
      </w:r>
    </w:p>
    <w:p w:rsidR="00295805" w:rsidRDefault="009319AA">
      <w:pPr>
        <w:spacing w:after="80"/>
      </w:pPr>
      <w:r>
        <w:rPr>
          <w:b/>
          <w:color w:val="1F4E79"/>
        </w:rPr>
        <w:lastRenderedPageBreak/>
        <w:t xml:space="preserve">Effect on interpretation. </w:t>
      </w:r>
      <w:r>
        <w:t>The new literature helps define what this manuscript does and, equally importantly, what requires add</w:t>
      </w:r>
      <w:r>
        <w:t>itional evidential inputs beyond the present observational dataset.</w:t>
      </w:r>
    </w:p>
    <w:p w:rsidR="00295805" w:rsidRDefault="009319AA">
      <w:pPr>
        <w:spacing w:after="80"/>
      </w:pPr>
      <w:r>
        <w:rPr>
          <w:b/>
          <w:color w:val="1F4E79"/>
        </w:rPr>
        <w:t>Location in revised manuscript. Page 2, Introduction; pages 21–22, References.</w:t>
      </w:r>
      <w:r/>
    </w:p>
    <w:p w:rsidR="00295805" w:rsidRDefault="00295805">
      <w:pPr>
        <w:spacing w:after="100"/>
      </w:pPr>
    </w:p>
    <w:tbl>
      <w:tblPr>
        <w:tblW w:w="0" w:type="auto"/>
        <w:jc w:val="center"/>
        <w:tblLayout w:type="fixed"/>
        <w:tblLook w:val="04A0" w:firstRow="1" w:lastRow="0" w:firstColumn="1" w:lastColumn="0" w:noHBand="0" w:noVBand="1"/>
      </w:tblPr>
      <w:tblGrid>
        <w:gridCol w:w="9792"/>
      </w:tblGrid>
      <w:tr w:rsidR="00295805">
        <w:trPr>
          <w:jc w:val="center"/>
        </w:trPr>
        <w:tc>
          <w:tcPr>
            <w:tcW w:w="9792" w:type="dxa"/>
            <w:shd w:val="clear" w:color="auto" w:fill="F2F2F2"/>
            <w:tcMar>
              <w:top w:w="120" w:type="dxa"/>
              <w:left w:w="140" w:type="dxa"/>
              <w:bottom w:w="120" w:type="dxa"/>
              <w:right w:w="140" w:type="dxa"/>
            </w:tcMar>
            <w:vAlign w:val="center"/>
          </w:tcPr>
          <w:p w:rsidR="00295805" w:rsidRDefault="009319AA">
            <w:pPr>
              <w:spacing w:after="0"/>
            </w:pPr>
            <w:r>
              <w:rPr>
                <w:b/>
                <w:color w:val="1F4E79"/>
              </w:rPr>
              <w:t xml:space="preserve">Comment 6. </w:t>
            </w:r>
            <w:r>
              <w:t xml:space="preserve">Techno-Economic Assessment: The scientific contribution of the manuscript should be strengthened </w:t>
            </w:r>
            <w:r>
              <w:t>by considering a more comprehensive techno-economic assessment of the proposed wind energy system. Similar wind-resource assessment studies have already been extensively reported in the literature; therefore, the authors should clearly demonstrate the nove</w:t>
            </w:r>
            <w:r>
              <w:t>lty of the present work and consider relevant techno-economic indicators and practical implications.</w:t>
            </w:r>
          </w:p>
        </w:tc>
      </w:tr>
    </w:tbl>
    <w:p w:rsidR="00295805" w:rsidRDefault="00295805">
      <w:pPr>
        <w:spacing w:after="20"/>
      </w:pPr>
    </w:p>
    <w:p w:rsidR="00295805" w:rsidRDefault="009319AA">
      <w:pPr>
        <w:spacing w:after="80"/>
      </w:pPr>
      <w:r>
        <w:rPr>
          <w:b/>
          <w:color w:val="1F4E79"/>
        </w:rPr>
        <w:t xml:space="preserve">Response. </w:t>
      </w:r>
      <w:r>
        <w:t>We considered this recommendation carefully. A full turbine-level techno-economic calculation would require validated hub-height wind condition</w:t>
      </w:r>
      <w:r>
        <w:t>s, turbine-specific power curves, vertical shear/turbulence and direction, micrositing and wake information, grid constraints, and project-specific CAPEX/OPEX assumptions. Those inputs are not contained in the present observational dataset. Introducing ass</w:t>
      </w:r>
      <w:r>
        <w:t>umed values only to report capacity factor or LCOE would create unsupported precision.</w:t>
      </w:r>
    </w:p>
    <w:p w:rsidR="00295805" w:rsidRDefault="009319AA">
      <w:pPr>
        <w:spacing w:after="80"/>
      </w:pPr>
      <w:r>
        <w:rPr>
          <w:b/>
          <w:color w:val="1F4E79"/>
        </w:rPr>
        <w:t xml:space="preserve">Action taken. </w:t>
      </w:r>
      <w:r>
        <w:t>Rather than introducing turbine-level indicators based on unsupported assumptions, we added a dedicated Discussion subsection that identifies the practical</w:t>
      </w:r>
      <w:r>
        <w:t xml:space="preserve"> decision value of the present results and explicitly distinguishes this characterization layer from subsequent turbine selection and techno-economic assessment. The Future Research Scope now specifies the measurements and inputs required to perform those </w:t>
      </w:r>
      <w:r>
        <w:t>analyses defensibly.</w:t>
      </w:r>
    </w:p>
    <w:p w:rsidR="00295805" w:rsidRDefault="009319AA">
      <w:pPr>
        <w:spacing w:after="80"/>
      </w:pPr>
      <w:r>
        <w:rPr>
          <w:b/>
          <w:color w:val="1F4E79"/>
        </w:rPr>
        <w:t xml:space="preserve">Effect on interpretation. </w:t>
      </w:r>
      <w:r>
        <w:t>The revised manuscript makes a clearer and more decision-relevant contribution while keeping techno-economic claims within the evidential limits of the data.</w:t>
      </w:r>
    </w:p>
    <w:p w:rsidR="00295805" w:rsidRDefault="009319AA">
      <w:pPr>
        <w:spacing w:after="80"/>
      </w:pPr>
      <w:r>
        <w:rPr>
          <w:b/>
          <w:color w:val="1F4E79"/>
        </w:rPr>
        <w:t>Location in revised manuscript. Page 19, Section 5.7; pages 20–21, Section 6.1 Future research scope.</w:t>
      </w:r>
      <w:r/>
      <w:r/>
    </w:p>
    <w:p w:rsidR="00295805" w:rsidRDefault="00295805">
      <w:pPr>
        <w:spacing w:after="100"/>
      </w:pPr>
    </w:p>
    <w:tbl>
      <w:tblPr>
        <w:tblW w:w="0" w:type="auto"/>
        <w:jc w:val="center"/>
        <w:tblLayout w:type="fixed"/>
        <w:tblLook w:val="04A0" w:firstRow="1" w:lastRow="0" w:firstColumn="1" w:lastColumn="0" w:noHBand="0" w:noVBand="1"/>
      </w:tblPr>
      <w:tblGrid>
        <w:gridCol w:w="9792"/>
      </w:tblGrid>
      <w:tr w:rsidR="00295805">
        <w:trPr>
          <w:jc w:val="center"/>
        </w:trPr>
        <w:tc>
          <w:tcPr>
            <w:tcW w:w="9792" w:type="dxa"/>
            <w:shd w:val="clear" w:color="auto" w:fill="F2F2F2"/>
            <w:tcMar>
              <w:top w:w="120" w:type="dxa"/>
              <w:left w:w="140" w:type="dxa"/>
              <w:bottom w:w="120" w:type="dxa"/>
              <w:right w:w="140" w:type="dxa"/>
            </w:tcMar>
            <w:vAlign w:val="center"/>
          </w:tcPr>
          <w:p w:rsidR="00295805" w:rsidRDefault="009319AA">
            <w:pPr>
              <w:spacing w:after="0"/>
            </w:pPr>
            <w:r>
              <w:rPr>
                <w:b/>
                <w:color w:val="1F4E79"/>
              </w:rPr>
              <w:t xml:space="preserve">Comment 7. </w:t>
            </w:r>
            <w:r>
              <w:t>The Weibull wins in Zone 1, however, the absolute fit is poor. Table 3 shows the KS statistics for Zone 1 is larger than for the other zones and the density plot visually confirms that neither Weib</w:t>
            </w:r>
            <w:r>
              <w:t>ull nor Rayleigh tracks the empirical density well near zero. Calling Weibull the best-performing distribution is true while comparing only with Rayleigh distribution.</w:t>
            </w:r>
          </w:p>
        </w:tc>
      </w:tr>
    </w:tbl>
    <w:p w:rsidR="00295805" w:rsidRDefault="00295805">
      <w:pPr>
        <w:spacing w:after="20"/>
      </w:pPr>
    </w:p>
    <w:p w:rsidR="00295805" w:rsidRDefault="009319AA">
      <w:pPr>
        <w:spacing w:after="80"/>
      </w:pPr>
      <w:r>
        <w:t>Response. The reviewer’s distinction between relative model preference and absolute mo</w:t>
      </w:r>
      <w:r>
        <w:t>del adequacy is important. The full V2 recomputation also changed the fitted parameters and goodness-of-fit statistics because the canonical dataset was rebuilt from the corrected physical workflow.</w:t>
      </w:r>
    </w:p>
    <w:p w:rsidR="00295805" w:rsidRDefault="009319AA">
      <w:pPr>
        <w:spacing w:after="80"/>
      </w:pPr>
      <w:r>
        <w:rPr>
          <w:b/>
          <w:color w:val="1F4E79"/>
        </w:rPr>
        <w:t xml:space="preserve">Action taken. </w:t>
      </w:r>
      <w:r>
        <w:t>Model comparison now uses AIC, BIC, CDF RMS</w:t>
      </w:r>
      <w:r>
        <w:t xml:space="preserve">E, CDF MAE, and KS distance. In revised Zone 1, Weibull k = 1.190 and KS D = 0.0632 versus 0.2748 for Rayleigh, so Weibull is clearly better relative to Rayleigh, while the empirical-density comparison still shows imperfect absolute fit at the lowest wind </w:t>
      </w:r>
      <w:r>
        <w:t>speeds. In Zones 2–4, the preferred model is metric-dependent. The previous statement that Weibull outperformed Rayleigh in all zones was removed. A density comparison is retained as Supplementary Figure S1.</w:t>
      </w:r>
    </w:p>
    <w:p w:rsidR="00295805" w:rsidRDefault="009319AA">
      <w:pPr>
        <w:spacing w:after="80"/>
      </w:pPr>
      <w:r>
        <w:rPr>
          <w:b/>
          <w:color w:val="1F4E79"/>
        </w:rPr>
        <w:t xml:space="preserve">Effect on interpretation. </w:t>
      </w:r>
      <w:r>
        <w:t>The conclusion changed</w:t>
      </w:r>
      <w:r>
        <w:t xml:space="preserve"> from universal Weibull superiority to zone- and metric-dependent model adequacy, with explicit acknowledgement of imperfect absolute fit in Zone 1.</w:t>
      </w:r>
    </w:p>
    <w:p w:rsidR="00295805" w:rsidRDefault="009319AA">
      <w:pPr>
        <w:spacing w:after="80"/>
      </w:pPr>
      <w:r>
        <w:rPr>
          <w:b/>
          <w:color w:val="1F4E79"/>
        </w:rPr>
        <w:t xml:space="preserve">Location in revised manuscript. </w:t>
      </w:r>
      <w:r>
        <w:t xml:space="preserve">Pages 11–13, Section 4.2, Figure 5 and Table 3; page 17, Section 5.2; </w:t>
      </w:r>
      <w:r>
        <w:t>Supplementary Figure S1.</w:t>
      </w:r>
    </w:p>
    <w:p w:rsidR="00295805" w:rsidRDefault="00295805">
      <w:pPr>
        <w:spacing w:after="100"/>
      </w:pPr>
    </w:p>
    <w:tbl>
      <w:tblPr>
        <w:tblW w:w="0" w:type="auto"/>
        <w:jc w:val="center"/>
        <w:tblLayout w:type="fixed"/>
        <w:tblLook w:val="04A0" w:firstRow="1" w:lastRow="0" w:firstColumn="1" w:lastColumn="0" w:noHBand="0" w:noVBand="1"/>
      </w:tblPr>
      <w:tblGrid>
        <w:gridCol w:w="9792"/>
      </w:tblGrid>
      <w:tr w:rsidR="00295805">
        <w:trPr>
          <w:jc w:val="center"/>
        </w:trPr>
        <w:tc>
          <w:tcPr>
            <w:tcW w:w="9792" w:type="dxa"/>
            <w:shd w:val="clear" w:color="auto" w:fill="F2F2F2"/>
            <w:tcMar>
              <w:top w:w="120" w:type="dxa"/>
              <w:left w:w="140" w:type="dxa"/>
              <w:bottom w:w="120" w:type="dxa"/>
              <w:right w:w="140" w:type="dxa"/>
            </w:tcMar>
            <w:vAlign w:val="center"/>
          </w:tcPr>
          <w:p w:rsidR="00295805" w:rsidRDefault="009319AA">
            <w:pPr>
              <w:spacing w:after="0"/>
            </w:pPr>
            <w:r>
              <w:rPr>
                <w:b/>
                <w:color w:val="1F4E79"/>
              </w:rPr>
              <w:t xml:space="preserve">Comment 8. </w:t>
            </w:r>
            <w:r>
              <w:t xml:space="preserve">No uncertainty quantification anywhere in the results. At minimum, bootstrap CIs on the mean </w:t>
            </w:r>
            <w:r>
              <w:lastRenderedPageBreak/>
              <w:t>WPD and Weibull k per zone would substantially strengthen the claims.</w:t>
            </w:r>
          </w:p>
        </w:tc>
      </w:tr>
    </w:tbl>
    <w:p w:rsidR="00295805" w:rsidRDefault="00295805">
      <w:pPr>
        <w:spacing w:after="20"/>
      </w:pPr>
    </w:p>
    <w:p w:rsidR="00295805" w:rsidRDefault="009319AA">
      <w:pPr>
        <w:spacing w:after="80"/>
      </w:pPr>
      <w:r>
        <w:t>Response. The submitted manuscript did not quantify un</w:t>
      </w:r>
      <w:r>
        <w:t>certainty adequately. We therefore added dependence-aware uncertainty quantification and used the temporal analysis to choose a bootstrap design that does not treat the daily series as independent.</w:t>
      </w:r>
    </w:p>
    <w:p w:rsidR="00295805" w:rsidRDefault="009319AA">
      <w:pPr>
        <w:spacing w:after="80"/>
      </w:pPr>
      <w:r>
        <w:rPr>
          <w:b/>
          <w:color w:val="1F4E79"/>
        </w:rPr>
        <w:t xml:space="preserve">Action taken. </w:t>
      </w:r>
      <w:r>
        <w:t>The primary method is a run-stratified circu</w:t>
      </w:r>
      <w:r>
        <w:t>lar moving-block bootstrap with 1,000 replicates. Blocks are sampled within observed continuous runs so that blocks do not cross real calendar gaps. Primary block lengths are 90 days for Zones 1–2, 30 days for Zone 3, and 7 days for Zone 4. The resulting 9</w:t>
      </w:r>
      <w:r>
        <w:t>5% CIs for mean WPD are 14.92–49.43, 17.28–48.21, 21.83–31.18, and 16.71–20.88 W m⁻² for Zones 1–4, respectively. Weibull k intervals are also reported. Sensitivity to 7/30/90-day block choices is provided in Supplementary Table S3.</w:t>
      </w:r>
    </w:p>
    <w:p w:rsidR="00295805" w:rsidRDefault="009319AA">
      <w:pPr>
        <w:spacing w:after="80"/>
      </w:pPr>
      <w:r>
        <w:rPr>
          <w:b/>
          <w:color w:val="1F4E79"/>
        </w:rPr>
        <w:t>Effect on interpretatio</w:t>
      </w:r>
      <w:r>
        <w:rPr>
          <w:b/>
          <w:color w:val="1F4E79"/>
        </w:rPr>
        <w:t xml:space="preserve">n. </w:t>
      </w:r>
      <w:r>
        <w:t>The apparent precision of zonal mean WPD is reduced, particularly in Zones 1 and 2. The descriptive ordering of sample means is retained, but it is no longer interpreted as four sharply separated energetic classes.</w:t>
      </w:r>
    </w:p>
    <w:p w:rsidR="00295805" w:rsidRDefault="009319AA">
      <w:pPr>
        <w:spacing w:after="80"/>
      </w:pPr>
      <w:r>
        <w:rPr>
          <w:b/>
          <w:color w:val="1F4E79"/>
        </w:rPr>
        <w:t>Location in revised manuscript. Page 9, Section 3.8; Tables 2 and 3 on pages 11 and 13; page 16, Section 4.7; pages 18–19, Section 5.6; Supplementary Table S3.</w:t>
      </w:r>
      <w:r/>
      <w:r/>
    </w:p>
    <w:p w:rsidR="00295805" w:rsidRDefault="00295805">
      <w:pPr>
        <w:spacing w:after="100"/>
      </w:pPr>
    </w:p>
    <w:tbl>
      <w:tblPr>
        <w:tblW w:w="0" w:type="auto"/>
        <w:jc w:val="center"/>
        <w:tblLayout w:type="fixed"/>
        <w:tblLook w:val="04A0" w:firstRow="1" w:lastRow="0" w:firstColumn="1" w:lastColumn="0" w:noHBand="0" w:noVBand="1"/>
      </w:tblPr>
      <w:tblGrid>
        <w:gridCol w:w="9792"/>
      </w:tblGrid>
      <w:tr w:rsidR="00295805">
        <w:trPr>
          <w:jc w:val="center"/>
        </w:trPr>
        <w:tc>
          <w:tcPr>
            <w:tcW w:w="9792" w:type="dxa"/>
            <w:shd w:val="clear" w:color="auto" w:fill="F2F2F2"/>
            <w:tcMar>
              <w:top w:w="120" w:type="dxa"/>
              <w:left w:w="140" w:type="dxa"/>
              <w:bottom w:w="120" w:type="dxa"/>
              <w:right w:w="140" w:type="dxa"/>
            </w:tcMar>
            <w:vAlign w:val="center"/>
          </w:tcPr>
          <w:p w:rsidR="00295805" w:rsidRDefault="009319AA">
            <w:pPr>
              <w:spacing w:after="0"/>
            </w:pPr>
            <w:r>
              <w:rPr>
                <w:b/>
                <w:color w:val="1F4E79"/>
              </w:rPr>
              <w:t xml:space="preserve">Comment 9. </w:t>
            </w:r>
            <w:r>
              <w:t>Precision inconsistency: 99.7562% is reported to 4 decimal places while most other statistics are rounded to 2 decimal pla</w:t>
            </w:r>
            <w:r>
              <w:t>ces. Hence, the authors are encouraged to maintain consistency in the manuscript.</w:t>
            </w:r>
          </w:p>
        </w:tc>
      </w:tr>
    </w:tbl>
    <w:p w:rsidR="00295805" w:rsidRDefault="00295805">
      <w:pPr>
        <w:spacing w:after="20"/>
      </w:pPr>
    </w:p>
    <w:p w:rsidR="00295805" w:rsidRDefault="009319AA">
      <w:pPr>
        <w:spacing w:after="80"/>
      </w:pPr>
      <w:r>
        <w:t>Response. We corrected the numerical precision throughout the manuscript.</w:t>
      </w:r>
    </w:p>
    <w:p w:rsidR="00295805" w:rsidRDefault="009319AA">
      <w:pPr>
        <w:spacing w:after="80"/>
      </w:pPr>
      <w:r>
        <w:rPr>
          <w:b/>
          <w:color w:val="1F4E79"/>
        </w:rPr>
        <w:t xml:space="preserve">Action taken. </w:t>
      </w:r>
      <w:r>
        <w:t xml:space="preserve">All numerical reporting was audited. Descriptive values and percentages are </w:t>
      </w:r>
      <w:r>
        <w:t>generally reported to two decimals, fitted parameters to three decimals when appropriate, and diagnostic metrics to a precision sufficient to distinguish models without unnecessary digits.</w:t>
      </w:r>
    </w:p>
    <w:p w:rsidR="00295805" w:rsidRDefault="009319AA">
      <w:pPr>
        <w:spacing w:after="80"/>
      </w:pPr>
      <w:r>
        <w:rPr>
          <w:b/>
          <w:color w:val="1F4E79"/>
        </w:rPr>
        <w:t xml:space="preserve">Effect on interpretation. </w:t>
      </w:r>
      <w:r>
        <w:t>No scientific interpretation changed.</w:t>
      </w:r>
    </w:p>
    <w:p w:rsidR="00295805" w:rsidRDefault="009319AA">
      <w:pPr>
        <w:spacing w:after="80"/>
      </w:pPr>
      <w:r>
        <w:rPr>
          <w:b/>
          <w:color w:val="1F4E79"/>
        </w:rPr>
        <w:t>Loc</w:t>
      </w:r>
      <w:r>
        <w:rPr>
          <w:b/>
          <w:color w:val="1F4E79"/>
        </w:rPr>
        <w:t xml:space="preserve">ation in revised manuscript. </w:t>
      </w:r>
      <w:r>
        <w:t>Throughout Results, Tables 2–5, figure captions, Discussion, and Conclusions.</w:t>
      </w:r>
    </w:p>
    <w:p w:rsidR="00295805" w:rsidRDefault="00295805">
      <w:pPr>
        <w:spacing w:after="100"/>
      </w:pPr>
    </w:p>
    <w:tbl>
      <w:tblPr>
        <w:tblW w:w="0" w:type="auto"/>
        <w:jc w:val="center"/>
        <w:tblLayout w:type="fixed"/>
        <w:tblLook w:val="04A0" w:firstRow="1" w:lastRow="0" w:firstColumn="1" w:lastColumn="0" w:noHBand="0" w:noVBand="1"/>
      </w:tblPr>
      <w:tblGrid>
        <w:gridCol w:w="9792"/>
      </w:tblGrid>
      <w:tr w:rsidR="00295805">
        <w:trPr>
          <w:jc w:val="center"/>
        </w:trPr>
        <w:tc>
          <w:tcPr>
            <w:tcW w:w="9792" w:type="dxa"/>
            <w:shd w:val="clear" w:color="auto" w:fill="F2F2F2"/>
            <w:tcMar>
              <w:top w:w="120" w:type="dxa"/>
              <w:left w:w="140" w:type="dxa"/>
              <w:bottom w:w="120" w:type="dxa"/>
              <w:right w:w="140" w:type="dxa"/>
            </w:tcMar>
            <w:vAlign w:val="center"/>
          </w:tcPr>
          <w:p w:rsidR="00295805" w:rsidRDefault="009319AA">
            <w:pPr>
              <w:spacing w:after="0"/>
            </w:pPr>
            <w:r>
              <w:rPr>
                <w:b/>
                <w:color w:val="1F4E79"/>
              </w:rPr>
              <w:t xml:space="preserve">Comment 10. </w:t>
            </w:r>
            <w:r>
              <w:t>Statistical comparison across zones relies on ratios of means rather than formal tests. Adding a non-parametric test (e.g., Kruskal-Wall</w:t>
            </w:r>
            <w:r>
              <w:t>is with pairwise comparisons) for WPD/wind speed across zones would substantiate the WPD separates zones better than wind speed.</w:t>
            </w:r>
          </w:p>
        </w:tc>
      </w:tr>
    </w:tbl>
    <w:p w:rsidR="00295805" w:rsidRDefault="00295805">
      <w:pPr>
        <w:spacing w:after="20"/>
      </w:pPr>
    </w:p>
    <w:p w:rsidR="00295805" w:rsidRDefault="009319AA">
      <w:pPr>
        <w:spacing w:after="80"/>
      </w:pPr>
      <w:r>
        <w:t xml:space="preserve">Response. This comment materially improved the manuscript. Formal inter-zonal inference was added, and the resulting tests </w:t>
      </w:r>
      <w:r>
        <w:t>did not support our previous statement that WPD globally separates the zones more strongly than wind speed. We therefore removed that claim rather than trying to preserve it.</w:t>
      </w:r>
    </w:p>
    <w:p w:rsidR="00295805" w:rsidRDefault="009319AA">
      <w:pPr>
        <w:spacing w:after="80"/>
      </w:pPr>
      <w:r>
        <w:rPr>
          <w:b/>
          <w:color w:val="1F4E79"/>
        </w:rPr>
        <w:t xml:space="preserve">Action taken. </w:t>
      </w:r>
      <w:r>
        <w:t>Kruskal–Wallis tests were added for wind speed and WPD at zone-hour</w:t>
      </w:r>
      <w:r>
        <w:t xml:space="preserve"> and daily-zone scales, followed by Dunn pairwise comparisons with Holm correction. Effect magnitude is reported with epsilon-squared. At zone-hour scale, epsilon-squared is 0.298 for wind speed and 0.244 for WPD; at daily-zone scale it is 0.409 for wind s</w:t>
      </w:r>
      <w:r>
        <w:t>peed and 0.212 for WPD. Full pairwise results are supplied in Supplementary Table S1.</w:t>
      </w:r>
    </w:p>
    <w:p w:rsidR="00295805" w:rsidRDefault="009319AA">
      <w:pPr>
        <w:spacing w:after="80"/>
      </w:pPr>
      <w:r>
        <w:rPr>
          <w:b/>
          <w:color w:val="1F4E79"/>
        </w:rPr>
        <w:t xml:space="preserve">Effect on interpretation. </w:t>
      </w:r>
      <w:r>
        <w:t>The previous interpretation was reversed: both variables differ among zones, but the global effect size is larger for wind speed under both anal</w:t>
      </w:r>
      <w:r>
        <w:t>yzed resolutions.</w:t>
      </w:r>
    </w:p>
    <w:p w:rsidR="00295805" w:rsidRDefault="009319AA">
      <w:pPr>
        <w:spacing w:after="80"/>
      </w:pPr>
      <w:r>
        <w:rPr>
          <w:b/>
          <w:color w:val="1F4E79"/>
        </w:rPr>
        <w:t xml:space="preserve">Location in revised manuscript. </w:t>
      </w:r>
      <w:r>
        <w:t>Page 8, Section 3.5; page 13, Section 4.3 and Table 4; Supplementary Table S1.</w:t>
      </w:r>
    </w:p>
    <w:p w:rsidR="00295805" w:rsidRDefault="00295805">
      <w:pPr>
        <w:spacing w:after="100"/>
      </w:pPr>
    </w:p>
    <w:tbl>
      <w:tblPr>
        <w:tblW w:w="0" w:type="auto"/>
        <w:jc w:val="center"/>
        <w:tblLayout w:type="fixed"/>
        <w:tblLook w:val="04A0" w:firstRow="1" w:lastRow="0" w:firstColumn="1" w:lastColumn="0" w:noHBand="0" w:noVBand="1"/>
      </w:tblPr>
      <w:tblGrid>
        <w:gridCol w:w="9792"/>
      </w:tblGrid>
      <w:tr w:rsidR="00295805">
        <w:trPr>
          <w:jc w:val="center"/>
        </w:trPr>
        <w:tc>
          <w:tcPr>
            <w:tcW w:w="9792" w:type="dxa"/>
            <w:shd w:val="clear" w:color="auto" w:fill="F2F2F2"/>
            <w:tcMar>
              <w:top w:w="120" w:type="dxa"/>
              <w:left w:w="140" w:type="dxa"/>
              <w:bottom w:w="120" w:type="dxa"/>
              <w:right w:w="140" w:type="dxa"/>
            </w:tcMar>
            <w:vAlign w:val="center"/>
          </w:tcPr>
          <w:p w:rsidR="00295805" w:rsidRDefault="009319AA">
            <w:pPr>
              <w:spacing w:after="0"/>
            </w:pPr>
            <w:r>
              <w:rPr>
                <w:b/>
                <w:color w:val="1F4E79"/>
              </w:rPr>
              <w:lastRenderedPageBreak/>
              <w:t xml:space="preserve">Comment 11. </w:t>
            </w:r>
            <w:r>
              <w:t>Gap interpolation before ACF/FFT is underspecified and could inflate persistence estimates. Please report the inte</w:t>
            </w:r>
            <w:r>
              <w:t>rpolation fraction per zone and ideally show ACF results with and without interpolated points.</w:t>
            </w:r>
          </w:p>
        </w:tc>
      </w:tr>
    </w:tbl>
    <w:p w:rsidR="00295805" w:rsidRDefault="00295805">
      <w:pPr>
        <w:spacing w:after="20"/>
      </w:pPr>
    </w:p>
    <w:p w:rsidR="00295805" w:rsidRDefault="009319AA">
      <w:pPr>
        <w:spacing w:after="80"/>
      </w:pPr>
      <w:r>
        <w:t xml:space="preserve">Response. This concern led us to rebuild the temporal workflow so that gap treatment, calendar support, and interpolation sensitivity are explicit rather than </w:t>
      </w:r>
      <w:r>
        <w:t>implicit.</w:t>
      </w:r>
    </w:p>
    <w:p w:rsidR="00295805" w:rsidRDefault="009319AA">
      <w:pPr>
        <w:spacing w:after="80"/>
      </w:pPr>
      <w:r>
        <w:rPr>
          <w:b/>
          <w:color w:val="1F4E79"/>
        </w:rPr>
        <w:t xml:space="preserve">Action taken. </w:t>
      </w:r>
      <w:r>
        <w:t>Daily series are now represented on the complete 1 January 2017–30 June 2022 calendar. Linear interpolation is allowed only for internal gaps of seven days or less; leading, trailing, and longer internal gaps remain missing. Interpo</w:t>
      </w:r>
      <w:r>
        <w:t>lated fractions are 1.49%, 4.09%, 1.44%, and 0.60% for Zones 1–4. Calendar-preserving WPD lag-1 correlations changed only from 0.835 to 0.837, 0.899 to 0.900, 0.733 to 0.734, and 0.565 to 0.567 after interpolation. ACF/PACF and FFT are restricted to explic</w:t>
      </w:r>
      <w:r>
        <w:t>itly reported continuous segments.</w:t>
      </w:r>
    </w:p>
    <w:p w:rsidR="00295805" w:rsidRDefault="009319AA">
      <w:pPr>
        <w:spacing w:after="80"/>
      </w:pPr>
      <w:r>
        <w:rPr>
          <w:b/>
          <w:color w:val="1F4E79"/>
        </w:rPr>
        <w:t xml:space="preserve">Effect on interpretation. </w:t>
      </w:r>
      <w:r>
        <w:t>The persistence result is retained, but it is now demonstrated not to be an artifact created by short-gap interpolation. Zone 4 is explicitly qualified because of its limited 18.83% calendar cove</w:t>
      </w:r>
      <w:r>
        <w:t>rage and long missing intervals.</w:t>
      </w:r>
    </w:p>
    <w:p w:rsidR="00295805" w:rsidRDefault="009319AA">
      <w:pPr>
        <w:spacing w:after="80"/>
      </w:pPr>
      <w:r>
        <w:rPr>
          <w:b/>
          <w:color w:val="1F4E79"/>
        </w:rPr>
        <w:t xml:space="preserve">Location in revised manuscript. </w:t>
      </w:r>
      <w:r>
        <w:t>Page 8, Section 3.6; pages 14–15, Section 4.5, Figure 7 and Table 5; page 18, Section 5.4.</w:t>
      </w:r>
    </w:p>
    <w:p w:rsidR="00295805" w:rsidRDefault="00295805">
      <w:pPr>
        <w:spacing w:after="100"/>
      </w:pPr>
    </w:p>
    <w:tbl>
      <w:tblPr>
        <w:tblW w:w="0" w:type="auto"/>
        <w:jc w:val="center"/>
        <w:tblLayout w:type="fixed"/>
        <w:tblLook w:val="04A0" w:firstRow="1" w:lastRow="0" w:firstColumn="1" w:lastColumn="0" w:noHBand="0" w:noVBand="1"/>
      </w:tblPr>
      <w:tblGrid>
        <w:gridCol w:w="9792"/>
      </w:tblGrid>
      <w:tr w:rsidR="00295805">
        <w:trPr>
          <w:jc w:val="center"/>
        </w:trPr>
        <w:tc>
          <w:tcPr>
            <w:tcW w:w="9792" w:type="dxa"/>
            <w:shd w:val="clear" w:color="auto" w:fill="F2F2F2"/>
            <w:tcMar>
              <w:top w:w="120" w:type="dxa"/>
              <w:left w:w="140" w:type="dxa"/>
              <w:bottom w:w="120" w:type="dxa"/>
              <w:right w:w="140" w:type="dxa"/>
            </w:tcMar>
            <w:vAlign w:val="center"/>
          </w:tcPr>
          <w:p w:rsidR="00295805" w:rsidRDefault="009319AA">
            <w:pPr>
              <w:spacing w:after="0"/>
            </w:pPr>
            <w:r>
              <w:rPr>
                <w:b/>
                <w:color w:val="1F4E79"/>
              </w:rPr>
              <w:t xml:space="preserve">Comment 12. </w:t>
            </w:r>
            <w:r>
              <w:t>Future Scope: Please include a discussion on the future scope of the work in the Conclu</w:t>
            </w:r>
            <w:r>
              <w:t>sion section.</w:t>
            </w:r>
          </w:p>
        </w:tc>
      </w:tr>
    </w:tbl>
    <w:p w:rsidR="00295805" w:rsidRDefault="00295805">
      <w:pPr>
        <w:spacing w:after="20"/>
      </w:pPr>
    </w:p>
    <w:p w:rsidR="00295805" w:rsidRDefault="009319AA">
      <w:pPr>
        <w:spacing w:after="80"/>
      </w:pPr>
      <w:r>
        <w:t>Response. We added a dedicated Future Research Scope subsection so that the boundary between the present evidence and the next engineering stage is explicit.</w:t>
      </w:r>
    </w:p>
    <w:p w:rsidR="00295805" w:rsidRDefault="009319AA">
      <w:pPr>
        <w:spacing w:after="80"/>
      </w:pPr>
      <w:r>
        <w:rPr>
          <w:b/>
          <w:color w:val="1F4E79"/>
        </w:rPr>
        <w:t xml:space="preserve">Action taken. </w:t>
      </w:r>
      <w:r>
        <w:t>A dedicated Future Research Scope subsection was added. It specifies</w:t>
      </w:r>
      <w:r>
        <w:t xml:space="preserve"> independent validation of influential stations, denser/terrain-resolving spatial support, hub-height characterization, turbine-specific power curves, capacity-factor estimation, micrositing, wake and grid constraints, CAPEX/OPEX assumptions, and propagati</w:t>
      </w:r>
      <w:r>
        <w:t>on of uncertainty into forecasting.</w:t>
      </w:r>
    </w:p>
    <w:p w:rsidR="00295805" w:rsidRDefault="009319AA">
      <w:pPr>
        <w:spacing w:after="80"/>
      </w:pPr>
      <w:r>
        <w:rPr>
          <w:b/>
          <w:color w:val="1F4E79"/>
        </w:rPr>
        <w:t xml:space="preserve">Effect on interpretation. </w:t>
      </w:r>
      <w:r>
        <w:t>The revised conclusion now clearly separates what has been established by the present data from the next research stage required for site-specific engineering and techno-economic decisions.</w:t>
      </w:r>
    </w:p>
    <w:p w:rsidR="00295805" w:rsidRDefault="009319AA">
      <w:pPr>
        <w:spacing w:after="80"/>
      </w:pPr>
      <w:r>
        <w:rPr>
          <w:b/>
          <w:color w:val="1F4E79"/>
        </w:rPr>
        <w:t>Location in revised manuscript. Pages 20–21, Section 6.1 Future research scope.</w:t>
      </w:r>
      <w:r/>
    </w:p>
    <w:p w:rsidR="00295805" w:rsidRDefault="00295805">
      <w:pPr>
        <w:spacing w:after="100"/>
      </w:pPr>
    </w:p>
    <w:p w:rsidR="00295805" w:rsidRDefault="009319AA">
      <w:pPr>
        <w:pStyle w:val="Ttulo1"/>
        <w:spacing w:before="160" w:after="100"/>
      </w:pPr>
      <w:r>
        <w:rPr>
          <w:color w:val="2E6B57"/>
        </w:rPr>
        <w:t>Reviewer #3</w:t>
      </w:r>
    </w:p>
    <w:tbl>
      <w:tblPr>
        <w:tblW w:w="0" w:type="auto"/>
        <w:jc w:val="center"/>
        <w:tblLayout w:type="fixed"/>
        <w:tblLook w:val="04A0" w:firstRow="1" w:lastRow="0" w:firstColumn="1" w:lastColumn="0" w:noHBand="0" w:noVBand="1"/>
      </w:tblPr>
      <w:tblGrid>
        <w:gridCol w:w="9792"/>
      </w:tblGrid>
      <w:tr w:rsidR="00295805">
        <w:trPr>
          <w:jc w:val="center"/>
        </w:trPr>
        <w:tc>
          <w:tcPr>
            <w:tcW w:w="9792" w:type="dxa"/>
            <w:shd w:val="clear" w:color="auto" w:fill="F2F2F2"/>
            <w:tcMar>
              <w:top w:w="120" w:type="dxa"/>
              <w:left w:w="140" w:type="dxa"/>
              <w:bottom w:w="120" w:type="dxa"/>
              <w:right w:w="140" w:type="dxa"/>
            </w:tcMar>
            <w:vAlign w:val="center"/>
          </w:tcPr>
          <w:p w:rsidR="00295805" w:rsidRDefault="009319AA">
            <w:pPr>
              <w:spacing w:after="0"/>
            </w:pPr>
            <w:r>
              <w:rPr>
                <w:b/>
                <w:color w:val="2E6B57"/>
              </w:rPr>
              <w:t xml:space="preserve">Comment 1. </w:t>
            </w:r>
            <w:r>
              <w:t>The novelty is limited. The study mainly combines established methods, including WPD calculation, Weibull/Rayleigh fitting, autocorrelation analysis, and FF</w:t>
            </w:r>
            <w:r>
              <w:t>T-based spectral analysis. The authors should clarify what new methodological or physical insight is provided beyond applying these methods to a regional case study.</w:t>
            </w:r>
          </w:p>
        </w:tc>
      </w:tr>
    </w:tbl>
    <w:p w:rsidR="00295805" w:rsidRDefault="00295805">
      <w:pPr>
        <w:spacing w:after="20"/>
      </w:pPr>
    </w:p>
    <w:p w:rsidR="00295805" w:rsidRDefault="009319AA">
      <w:pPr>
        <w:spacing w:after="80"/>
      </w:pPr>
      <w:r>
        <w:t>Response. We agree with the core point: the individual analytical tools are established.</w:t>
      </w:r>
      <w:r>
        <w:t xml:space="preserve"> The revised manuscript therefore does not claim novelty from combining them. Instead, the contribution is formulated at the level of the analytical architecture and the information retained or lost as observations are transformed, aggregated, and interpre</w:t>
      </w:r>
      <w:r>
        <w:t>ted.</w:t>
      </w:r>
    </w:p>
    <w:p w:rsidR="00295805" w:rsidRDefault="009319AA">
      <w:pPr>
        <w:spacing w:after="80"/>
      </w:pPr>
      <w:r>
        <w:rPr>
          <w:b/>
          <w:color w:val="2E6B57"/>
        </w:rPr>
        <w:t xml:space="preserve">Action taken. </w:t>
      </w:r>
      <w:r>
        <w:t xml:space="preserve">The revised contribution is formulated at the level of the analytical architecture: quality control before nonlinear transformation, local station-hour WPD before aggregation, explicit station-composition </w:t>
      </w:r>
      <w:r>
        <w:lastRenderedPageBreak/>
        <w:t>sensitivity, calendar-aware temp</w:t>
      </w:r>
      <w:r>
        <w:t>oral analysis, and dependence-aware uncertainty. The revised manuscript demonstrates that changing the order of transformation and aggregation can materially change the inferred energetic picture in a heterogeneous monitoring network.</w:t>
      </w:r>
    </w:p>
    <w:p w:rsidR="00295805" w:rsidRDefault="009319AA">
      <w:pPr>
        <w:spacing w:after="80"/>
      </w:pPr>
      <w:r>
        <w:rPr>
          <w:b/>
          <w:color w:val="2E6B57"/>
        </w:rPr>
        <w:t>Effect on interpretat</w:t>
      </w:r>
      <w:r>
        <w:rPr>
          <w:b/>
          <w:color w:val="2E6B57"/>
        </w:rPr>
        <w:t xml:space="preserve">ion. </w:t>
      </w:r>
      <w:r>
        <w:t>The novelty is now a transferable methodological and interpretative principle rather than a claim that Weibull, ACF, or FFT are themselves novel.</w:t>
      </w:r>
    </w:p>
    <w:p w:rsidR="00295805" w:rsidRDefault="009319AA">
      <w:pPr>
        <w:spacing w:after="80"/>
      </w:pPr>
      <w:r>
        <w:rPr>
          <w:b/>
          <w:color w:val="2E6B57"/>
        </w:rPr>
        <w:t>Location in revised manuscript. Page 3, final Introduction paragraphs; pages 19–20, Section 5.8; page 20, Conclusions.</w:t>
      </w:r>
      <w:r/>
      <w:r/>
    </w:p>
    <w:p w:rsidR="00295805" w:rsidRDefault="00295805">
      <w:pPr>
        <w:spacing w:after="100"/>
      </w:pPr>
    </w:p>
    <w:tbl>
      <w:tblPr>
        <w:tblW w:w="0" w:type="auto"/>
        <w:jc w:val="center"/>
        <w:tblLayout w:type="fixed"/>
        <w:tblLook w:val="04A0" w:firstRow="1" w:lastRow="0" w:firstColumn="1" w:lastColumn="0" w:noHBand="0" w:noVBand="1"/>
      </w:tblPr>
      <w:tblGrid>
        <w:gridCol w:w="9792"/>
      </w:tblGrid>
      <w:tr w:rsidR="00295805">
        <w:trPr>
          <w:jc w:val="center"/>
        </w:trPr>
        <w:tc>
          <w:tcPr>
            <w:tcW w:w="9792" w:type="dxa"/>
            <w:shd w:val="clear" w:color="auto" w:fill="F2F2F2"/>
            <w:tcMar>
              <w:top w:w="120" w:type="dxa"/>
              <w:left w:w="140" w:type="dxa"/>
              <w:bottom w:w="120" w:type="dxa"/>
              <w:right w:w="140" w:type="dxa"/>
            </w:tcMar>
            <w:vAlign w:val="center"/>
          </w:tcPr>
          <w:p w:rsidR="00295805" w:rsidRDefault="009319AA">
            <w:pPr>
              <w:spacing w:after="0"/>
            </w:pPr>
            <w:r>
              <w:rPr>
                <w:b/>
                <w:color w:val="2E6B57"/>
              </w:rPr>
              <w:t xml:space="preserve">Comment 2. </w:t>
            </w:r>
            <w:r>
              <w:t>The regional dataset is potentially useful, but the broader significance of the case study is not sufficiently developed. Most findings are specific to the four zones in Nariño, and it is unclear what generalizable insights ca</w:t>
            </w:r>
            <w:r>
              <w:t>n be drawn for wind-resource assessment in other complex-terrain regions. In addition, the definition of the analytical zones needs stronger justification, particularly given the large elevation ranges within some zones.</w:t>
            </w:r>
          </w:p>
        </w:tc>
      </w:tr>
    </w:tbl>
    <w:p w:rsidR="00295805" w:rsidRDefault="00295805">
      <w:pPr>
        <w:spacing w:after="20"/>
      </w:pPr>
    </w:p>
    <w:p w:rsidR="00295805" w:rsidRDefault="009319AA">
      <w:pPr>
        <w:spacing w:after="80"/>
      </w:pPr>
      <w:r>
        <w:t xml:space="preserve">Response. This comment led us to </w:t>
      </w:r>
      <w:r>
        <w:t>reframe both the terminology and the spatial meaning of the four zones. They are now treated as analytical aggregation units of the observed network, not as homogeneous wind-resource regions.</w:t>
      </w:r>
    </w:p>
    <w:p w:rsidR="00295805" w:rsidRDefault="009319AA">
      <w:pPr>
        <w:spacing w:after="80"/>
      </w:pPr>
      <w:r>
        <w:rPr>
          <w:b/>
          <w:color w:val="2E6B57"/>
        </w:rPr>
        <w:t xml:space="preserve">Action taken. </w:t>
      </w:r>
      <w:r>
        <w:t>The four groups are now defined as analytical aggr</w:t>
      </w:r>
      <w:r>
        <w:t>egation units used to organize the observed monitoring network. They are not described as homogeneous wind-resource regions, administrative regions, area-weighted resource classes, or continuous spatial interpolations. The grouping is operational and compa</w:t>
      </w:r>
      <w:r>
        <w:t>rative and reflects station location, record continuity, variable availability, and physical diversity; elevation is descriptive rather than the sole grouping criterion. We also added direct station-contribution and leave-one-station-out analyses. Dominant</w:t>
      </w:r>
      <w:r>
        <w:t xml:space="preserve"> individual stations contribute 94.08%, 62.51%, 78.24%, and 79.31% of the zonal mean WPD in Zones 1–4, demonstrating why observational-network composition must be explicit.</w:t>
      </w:r>
    </w:p>
    <w:p w:rsidR="00295805" w:rsidRDefault="009319AA">
      <w:pPr>
        <w:spacing w:after="80"/>
      </w:pPr>
      <w:r>
        <w:rPr>
          <w:b/>
          <w:color w:val="2E6B57"/>
        </w:rPr>
        <w:t xml:space="preserve">Effect on interpretation. </w:t>
      </w:r>
      <w:r>
        <w:t>The broader insight is now clearly generalizable: complex</w:t>
      </w:r>
      <w:r>
        <w:t>-terrain regional summaries should be interpreted conditionally on observational support and tested for station-composition dependence before being treated as spatial resource classes.</w:t>
      </w:r>
    </w:p>
    <w:p w:rsidR="00295805" w:rsidRDefault="009319AA">
      <w:pPr>
        <w:spacing w:after="80"/>
      </w:pPr>
      <w:r>
        <w:rPr>
          <w:b/>
          <w:color w:val="2E6B57"/>
        </w:rPr>
        <w:t>Location in revised manuscript. Pages 3–5, Section 2; pages 13–14, Section 4.4 and Figure 6; pages 17–18, Section 5.3; pages 19–20, Section 5.8; Supplementary Table S2.</w:t>
      </w:r>
      <w:r/>
      <w:r/>
    </w:p>
    <w:p w:rsidR="00295805" w:rsidRDefault="00295805">
      <w:pPr>
        <w:spacing w:after="100"/>
      </w:pPr>
    </w:p>
    <w:tbl>
      <w:tblPr>
        <w:tblW w:w="0" w:type="auto"/>
        <w:jc w:val="center"/>
        <w:tblLayout w:type="fixed"/>
        <w:tblLook w:val="04A0" w:firstRow="1" w:lastRow="0" w:firstColumn="1" w:lastColumn="0" w:noHBand="0" w:noVBand="1"/>
      </w:tblPr>
      <w:tblGrid>
        <w:gridCol w:w="9792"/>
      </w:tblGrid>
      <w:tr w:rsidR="00295805">
        <w:trPr>
          <w:jc w:val="center"/>
        </w:trPr>
        <w:tc>
          <w:tcPr>
            <w:tcW w:w="9792" w:type="dxa"/>
            <w:shd w:val="clear" w:color="auto" w:fill="F2F2F2"/>
            <w:tcMar>
              <w:top w:w="120" w:type="dxa"/>
              <w:left w:w="140" w:type="dxa"/>
              <w:bottom w:w="120" w:type="dxa"/>
              <w:right w:w="140" w:type="dxa"/>
            </w:tcMar>
            <w:vAlign w:val="center"/>
          </w:tcPr>
          <w:p w:rsidR="00295805" w:rsidRDefault="009319AA">
            <w:pPr>
              <w:spacing w:after="0"/>
            </w:pPr>
            <w:r>
              <w:rPr>
                <w:b/>
                <w:color w:val="2E6B57"/>
              </w:rPr>
              <w:t xml:space="preserve">Comment 3. </w:t>
            </w:r>
            <w:r>
              <w:t>Overall, the analysis remains largely descriptive relative to the strength of the physical interpretation. The current methods characterize the observed p</w:t>
            </w:r>
            <w:r>
              <w:t>atterns but provide limited evidence on the physical mechanisms responsible for the differences among zones. The authors should either strengthen the physical analysis or moderate the claims and frame the work more clearly as a regional statistical charact</w:t>
            </w:r>
            <w:r>
              <w:t>erization.</w:t>
            </w:r>
          </w:p>
        </w:tc>
      </w:tr>
    </w:tbl>
    <w:p w:rsidR="00295805" w:rsidRDefault="00295805">
      <w:pPr>
        <w:spacing w:after="20"/>
      </w:pPr>
    </w:p>
    <w:p w:rsidR="00295805" w:rsidRDefault="009319AA">
      <w:pPr>
        <w:spacing w:after="80"/>
      </w:pPr>
      <w:r>
        <w:t>Response. We accepted this concern and deliberately moderated the physical claims. We retained the interpretations that follow directly from the governing WPD relation and the added sensitivity analyses, while separating those from atmospheric</w:t>
      </w:r>
      <w:r>
        <w:t xml:space="preserve"> mechanisms that the present observational design cannot identify causally.</w:t>
      </w:r>
    </w:p>
    <w:p w:rsidR="00295805" w:rsidRDefault="009319AA">
      <w:pPr>
        <w:spacing w:after="80"/>
      </w:pPr>
      <w:r>
        <w:rPr>
          <w:b/>
          <w:color w:val="2E6B57"/>
        </w:rPr>
        <w:t xml:space="preserve">Action taken. </w:t>
      </w:r>
      <w:r>
        <w:t>The revised manuscript distinguishes explicitly between a physically defined energetic transformation and causal atmospheric-process attribution. We retain physical i</w:t>
      </w:r>
      <w:r>
        <w:t>nterpretation where it follows directly from WPD proportionality to v^3 and the non-commutativity of local transformation and averaging. By contrast, autocorrelation is interpreted as temporal dependence rather than proof of a specific memory mechanism, an</w:t>
      </w:r>
      <w:r>
        <w:t xml:space="preserve">d FFT peaks are treated as descriptors of temporal organization rather than deterministic atmospheric cycles. </w:t>
      </w:r>
      <w:r>
        <w:lastRenderedPageBreak/>
        <w:t xml:space="preserve">References to synoptic forcing, boundary-layer processes, terrain-related circulation, or seasonality are framed as possible contexts rather than </w:t>
      </w:r>
      <w:r>
        <w:t>mechanisms demonstrated by this observational design.</w:t>
      </w:r>
    </w:p>
    <w:p w:rsidR="00295805" w:rsidRDefault="009319AA">
      <w:pPr>
        <w:spacing w:after="80"/>
      </w:pPr>
      <w:r>
        <w:rPr>
          <w:b/>
          <w:color w:val="2E6B57"/>
        </w:rPr>
        <w:t xml:space="preserve">Effect on interpretation. </w:t>
      </w:r>
      <w:r>
        <w:t xml:space="preserve">The manuscript is now framed as an uncertainty-aware physical–statistical characterization with moderated causal claims. This preserves the physically justified contribution </w:t>
      </w:r>
      <w:r>
        <w:t>while avoiding over-attribution of mechanisms not identified by the data.</w:t>
      </w:r>
    </w:p>
    <w:p w:rsidR="00295805" w:rsidRDefault="009319AA">
      <w:pPr>
        <w:spacing w:after="80"/>
      </w:pPr>
      <w:r>
        <w:rPr>
          <w:b/>
          <w:color w:val="2E6B57"/>
        </w:rPr>
        <w:t>Location in revised manuscript. Pages 17–18, Sections 5.1–5.5; pages 19–20, Section 5.8; Conclusions on page 20.</w:t>
      </w:r>
      <w:r/>
    </w:p>
    <w:p w:rsidR="00295805" w:rsidRDefault="00295805">
      <w:pPr>
        <w:spacing w:after="100"/>
      </w:pPr>
    </w:p>
    <w:p w:rsidR="00295805" w:rsidRDefault="009319AA">
      <w:pPr>
        <w:pStyle w:val="Ttulo1"/>
        <w:spacing w:before="160" w:after="100"/>
      </w:pPr>
      <w:r>
        <w:rPr>
          <w:color w:val="1F4E79"/>
        </w:rPr>
        <w:t>Additional revision arising from the reproducibility audit</w:t>
      </w:r>
    </w:p>
    <w:p w:rsidR="00295805" w:rsidRDefault="009319AA">
      <w:pPr>
        <w:spacing w:after="120"/>
      </w:pPr>
      <w:r>
        <w:t>In additi</w:t>
      </w:r>
      <w:r>
        <w:t>on to the changes directly requested by the reviewers, the revision process triggered a complete audit of the computational workflow. This audit identified the order-of-operations issue described in the opening letter. Because WPD is proportional to the cu</w:t>
      </w:r>
      <w:r>
        <w:t>be of wind speed, the revised manuscript now constructs the energetic quantity locally before zonal aggregation. The canonical V2 dataset contains 137,811 zone-hour observations, and all descriptive, distributional, inferential, station-sensitivity, tempor</w:t>
      </w:r>
      <w:r>
        <w:t>al, spectral, and uncertainty analyses were recomputed from that dataset.</w:t>
      </w:r>
    </w:p>
    <w:p w:rsidR="00295805" w:rsidRDefault="009319AA">
      <w:pPr>
        <w:spacing w:after="160"/>
      </w:pPr>
      <w:r>
        <w:t>The revised zonal mean WPD values are 31.96, 30.44, 26.30, and 18.68 W m⁻² for Zones 1–4. This audit also changed the Zone 1 Weibull shape estimate to k = 1.190, removed the universa</w:t>
      </w:r>
      <w:r>
        <w:t>l Weibull-superiority claim, removed the claim that WPD separates the zones more strongly than wind speed, and introduced explicit network- and dependence-aware interpretation. These changes are reported transparently because reproducibility and physical c</w:t>
      </w:r>
      <w:r>
        <w:t>onsistency are more important than preserving numerical conclusions from the submitted version.</w:t>
      </w:r>
    </w:p>
    <w:p w:rsidR="00295805" w:rsidRDefault="009319AA">
      <w:pPr>
        <w:pStyle w:val="Ttulo1"/>
        <w:spacing w:before="160" w:after="100"/>
      </w:pPr>
      <w:r>
        <w:rPr>
          <w:color w:val="1F4E79"/>
        </w:rPr>
        <w:t>Closing statement</w:t>
      </w:r>
    </w:p>
    <w:p w:rsidR="00295805" w:rsidRDefault="009319AA">
      <w:pPr>
        <w:spacing w:after="140"/>
      </w:pPr>
      <w:r>
        <w:t>We appreciate the reviewers’ comments because they changed the manuscript in substantive ways. The revised version does not attempt to preserv</w:t>
      </w:r>
      <w:r>
        <w:t>e the submitted conclusions when the re-audited evidence points elsewhere; instead, it reports the conclusions supported by the revised analysis and states the remaining limits explicitly. We believe this has produced a clearer, more reproducible, and more</w:t>
      </w:r>
      <w:r>
        <w:t xml:space="preserve"> useful characterization of wind-energy information in complex terrain.</w:t>
      </w:r>
    </w:p>
    <w:p w:rsidR="00295805" w:rsidRDefault="009319AA">
      <w:pPr>
        <w:spacing w:after="240"/>
      </w:pPr>
      <w:r>
        <w:t>We hope that the revised manuscript and supplementary material now address the concerns regarding scientific novelty, uncertainty, station representativeness, formal inter-zonal testin</w:t>
      </w:r>
      <w:r>
        <w:t>g, gap interpolation, distributional adequacy, physical interpretation, practical scope, and future research.</w:t>
      </w:r>
    </w:p>
    <w:p w:rsidR="00295805" w:rsidRDefault="009319AA">
      <w:pPr>
        <w:spacing w:after="60"/>
      </w:pPr>
      <w:r>
        <w:t>Sincerely,</w:t>
      </w:r>
    </w:p>
    <w:p w:rsidR="00295805" w:rsidRDefault="009319AA">
      <w:pPr>
        <w:spacing w:after="20"/>
      </w:pPr>
      <w:r>
        <w:rPr>
          <w:b/>
        </w:rPr>
        <w:t>Favio Nicolás Rosero-Rodríguez</w:t>
      </w:r>
    </w:p>
    <w:p w:rsidR="00295805" w:rsidRDefault="009319AA">
      <w:pPr>
        <w:spacing w:after="0"/>
      </w:pPr>
      <w:r>
        <w:rPr>
          <w:i/>
        </w:rPr>
        <w:t>on behalf of all authors</w:t>
      </w:r>
    </w:p>
    <w:sectPr w:rsidR="0029580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805"/>
    <w:rsid w:val="0029639D"/>
    <w:rsid w:val="00326F90"/>
    <w:rsid w:val="009319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C357F"/>
  <w14:defaultImageDpi w14:val="300"/>
  <w15:docId w15:val="{3C92AAA5-1E70-4457-9F24-0B9FD19FF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49BCF3-2D68-4E51-962E-BD2DAFB9A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3960</Words>
  <Characters>21782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dirisistemas</cp:lastModifiedBy>
  <cp:revision>2</cp:revision>
  <dcterms:created xsi:type="dcterms:W3CDTF">2013-12-23T23:15:00Z</dcterms:created>
  <dcterms:modified xsi:type="dcterms:W3CDTF">2026-10-27T18:30:00Z</dcterms:modified>
  <cp:category/>
</cp:coreProperties>
</file>