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37FF" w14:textId="77777777" w:rsidR="00F457E4" w:rsidRPr="00F65A5F" w:rsidRDefault="00000000">
      <w:pPr>
        <w:jc w:val="center"/>
        <w:rPr>
          <w:rFonts w:ascii="Century" w:hAnsi="Century"/>
        </w:rPr>
      </w:pPr>
      <w:r w:rsidRPr="00F65A5F">
        <w:rPr>
          <w:rFonts w:ascii="Century" w:hAnsi="Century"/>
          <w:b/>
        </w:rPr>
        <w:t>Physical and Mathematical Formulation of the Model</w:t>
      </w:r>
    </w:p>
    <w:p w14:paraId="392F1584" w14:textId="77777777" w:rsidR="00F457E4" w:rsidRPr="00F65A5F" w:rsidRDefault="00000000">
      <w:pPr>
        <w:pStyle w:val="Ttulo1"/>
        <w:rPr>
          <w:rFonts w:ascii="Century" w:hAnsi="Century"/>
          <w:color w:val="auto"/>
          <w:sz w:val="22"/>
          <w:szCs w:val="22"/>
        </w:rPr>
      </w:pPr>
      <w:r w:rsidRPr="00F65A5F">
        <w:rPr>
          <w:rFonts w:ascii="Century" w:hAnsi="Century"/>
          <w:color w:val="auto"/>
          <w:sz w:val="22"/>
          <w:szCs w:val="22"/>
        </w:rPr>
        <w:t>1. System Definition</w:t>
      </w:r>
    </w:p>
    <w:p w14:paraId="5E5947A9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The wind system is modeled as a complex dynamical system whose evolution over time can be represented through a general state:</w:t>
      </w:r>
    </w:p>
    <w:p w14:paraId="221F0F04" w14:textId="77777777" w:rsidR="00F457E4" w:rsidRPr="00F65A5F" w:rsidRDefault="00000000">
      <w:pPr>
        <w:jc w:val="center"/>
        <w:rPr>
          <w:rFonts w:ascii="Century" w:hAnsi="Century"/>
        </w:rPr>
      </w:pPr>
      <w:r w:rsidRPr="00F65A5F">
        <w:rPr>
          <w:rFonts w:ascii="Century" w:eastAsia="Courier New" w:hAnsi="Century"/>
        </w:rPr>
        <w:t>|ψ(t)</w:t>
      </w:r>
      <w:r w:rsidRPr="00F65A5F">
        <w:rPr>
          <w:rFonts w:ascii="Cambria Math" w:eastAsia="Courier New" w:hAnsi="Cambria Math" w:cs="Cambria Math"/>
        </w:rPr>
        <w:t>⟩</w:t>
      </w:r>
    </w:p>
    <w:p w14:paraId="1C8FC028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where |ψ(t)</w:t>
      </w:r>
      <w:r w:rsidRPr="00F65A5F">
        <w:rPr>
          <w:rFonts w:ascii="Cambria Math" w:hAnsi="Cambria Math" w:cs="Cambria Math"/>
        </w:rPr>
        <w:t>⟩</w:t>
      </w:r>
      <w:r w:rsidRPr="00F65A5F">
        <w:rPr>
          <w:rFonts w:ascii="Century" w:hAnsi="Century"/>
        </w:rPr>
        <w:t xml:space="preserve"> describes the physical state of the atmospheric system, including the interaction of meteorological variables such as wind speed, temperature, pressure, humidity, and boundary conditions.</w:t>
      </w:r>
    </w:p>
    <w:p w14:paraId="51CB7EBE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The temporal evolution of the system is governed by a dynamic operator:</w:t>
      </w:r>
    </w:p>
    <w:p w14:paraId="06CA326B" w14:textId="77777777" w:rsidR="00F457E4" w:rsidRPr="00F65A5F" w:rsidRDefault="00000000">
      <w:pPr>
        <w:jc w:val="center"/>
        <w:rPr>
          <w:rFonts w:ascii="Century" w:hAnsi="Century"/>
        </w:rPr>
      </w:pPr>
      <w:r w:rsidRPr="00F65A5F">
        <w:rPr>
          <w:rFonts w:ascii="Century" w:eastAsia="Courier New" w:hAnsi="Century"/>
        </w:rPr>
        <w:t>i ∂/∂t |ψ</w:t>
      </w:r>
      <w:r w:rsidRPr="00F65A5F">
        <w:rPr>
          <w:rFonts w:ascii="Cambria Math" w:eastAsia="Courier New" w:hAnsi="Cambria Math" w:cs="Cambria Math"/>
        </w:rPr>
        <w:t>⟩</w:t>
      </w:r>
      <w:r w:rsidRPr="00F65A5F">
        <w:rPr>
          <w:rFonts w:ascii="Century" w:eastAsia="Courier New" w:hAnsi="Century"/>
        </w:rPr>
        <w:t xml:space="preserve"> = Λ</w:t>
      </w:r>
      <w:r w:rsidRPr="00F65A5F">
        <w:rPr>
          <w:rFonts w:ascii="Times New Roman" w:eastAsia="Courier New" w:hAnsi="Times New Roman" w:cs="Times New Roman"/>
        </w:rPr>
        <w:t>̂</w:t>
      </w:r>
      <w:r w:rsidRPr="00F65A5F">
        <w:rPr>
          <w:rFonts w:ascii="Century" w:eastAsia="Courier New" w:hAnsi="Century"/>
        </w:rPr>
        <w:t xml:space="preserve"> |</w:t>
      </w:r>
      <w:r w:rsidRPr="00F65A5F">
        <w:rPr>
          <w:rFonts w:ascii="Century" w:eastAsia="Courier New" w:hAnsi="Century" w:cs="Century"/>
        </w:rPr>
        <w:t>ψ</w:t>
      </w:r>
      <w:r w:rsidRPr="00F65A5F">
        <w:rPr>
          <w:rFonts w:ascii="Cambria Math" w:eastAsia="Courier New" w:hAnsi="Cambria Math" w:cs="Cambria Math"/>
        </w:rPr>
        <w:t>⟩</w:t>
      </w:r>
    </w:p>
    <w:p w14:paraId="15FCDBDC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where Λ</w:t>
      </w:r>
      <w:r w:rsidRPr="00F65A5F">
        <w:rPr>
          <w:rFonts w:ascii="Times New Roman" w:hAnsi="Times New Roman" w:cs="Times New Roman"/>
        </w:rPr>
        <w:t>̂</w:t>
      </w:r>
      <w:r w:rsidRPr="00F65A5F">
        <w:rPr>
          <w:rFonts w:ascii="Century" w:hAnsi="Century"/>
        </w:rPr>
        <w:t xml:space="preserve"> represents the system evolution operator.</w:t>
      </w:r>
    </w:p>
    <w:p w14:paraId="208B481D" w14:textId="77777777" w:rsidR="00F457E4" w:rsidRPr="00F65A5F" w:rsidRDefault="00000000">
      <w:pPr>
        <w:pStyle w:val="Ttulo1"/>
        <w:rPr>
          <w:rFonts w:ascii="Century" w:hAnsi="Century"/>
          <w:color w:val="auto"/>
          <w:sz w:val="22"/>
          <w:szCs w:val="22"/>
        </w:rPr>
      </w:pPr>
      <w:r w:rsidRPr="00F65A5F">
        <w:rPr>
          <w:rFonts w:ascii="Century" w:hAnsi="Century"/>
          <w:color w:val="auto"/>
          <w:sz w:val="22"/>
          <w:szCs w:val="22"/>
        </w:rPr>
        <w:t>2. Definition of the Evolution Operator</w:t>
      </w:r>
    </w:p>
    <w:p w14:paraId="1A5A3510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The operator Λ</w:t>
      </w:r>
      <w:r w:rsidRPr="00F65A5F">
        <w:rPr>
          <w:rFonts w:ascii="Times New Roman" w:hAnsi="Times New Roman" w:cs="Times New Roman"/>
        </w:rPr>
        <w:t>̂</w:t>
      </w:r>
      <w:r w:rsidRPr="00F65A5F">
        <w:rPr>
          <w:rFonts w:ascii="Century" w:hAnsi="Century"/>
        </w:rPr>
        <w:t xml:space="preserve"> is defined as a function of the fundamental components of the system:</w:t>
      </w:r>
    </w:p>
    <w:p w14:paraId="11B266F4" w14:textId="77777777" w:rsidR="00F457E4" w:rsidRPr="00F65A5F" w:rsidRDefault="00000000">
      <w:pPr>
        <w:jc w:val="center"/>
        <w:rPr>
          <w:rFonts w:ascii="Century" w:hAnsi="Century"/>
        </w:rPr>
      </w:pPr>
      <w:r w:rsidRPr="00F65A5F">
        <w:rPr>
          <w:rFonts w:ascii="Century" w:eastAsia="Courier New" w:hAnsi="Century"/>
        </w:rPr>
        <w:t>Λ</w:t>
      </w:r>
      <w:r w:rsidRPr="00F65A5F">
        <w:rPr>
          <w:rFonts w:ascii="Times New Roman" w:eastAsia="Courier New" w:hAnsi="Times New Roman" w:cs="Times New Roman"/>
        </w:rPr>
        <w:t>̂</w:t>
      </w:r>
      <w:r w:rsidRPr="00F65A5F">
        <w:rPr>
          <w:rFonts w:ascii="Century" w:eastAsia="Courier New" w:hAnsi="Century"/>
        </w:rPr>
        <w:t xml:space="preserve"> = </w:t>
      </w:r>
      <w:proofErr w:type="gramStart"/>
      <w:r w:rsidRPr="00F65A5F">
        <w:rPr>
          <w:rFonts w:ascii="Century" w:eastAsia="Courier New" w:hAnsi="Century"/>
        </w:rPr>
        <w:t>f(</w:t>
      </w:r>
      <w:proofErr w:type="gramEnd"/>
      <w:r w:rsidRPr="00F65A5F">
        <w:rPr>
          <w:rFonts w:ascii="Century" w:eastAsia="Courier New" w:hAnsi="Century"/>
        </w:rPr>
        <w:t>E, O, S, FNRR)</w:t>
      </w:r>
    </w:p>
    <w:p w14:paraId="042464B4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where:</w:t>
      </w:r>
    </w:p>
    <w:p w14:paraId="0337FA80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E: System energy, associated with atmospheric flow dynamics</w:t>
      </w:r>
    </w:p>
    <w:p w14:paraId="1591C151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O: Structural order, representing patterns, correlations, and regularities</w:t>
      </w:r>
    </w:p>
    <w:p w14:paraId="13B1F87A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S: Physical system, defined by meteorological variables and external conditions</w:t>
      </w:r>
    </w:p>
    <w:p w14:paraId="2D9625B5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FNRR: Factor of Regional Non-Regularity, representing structural deviation</w:t>
      </w:r>
    </w:p>
    <w:p w14:paraId="74314BDF" w14:textId="77777777" w:rsidR="00F457E4" w:rsidRPr="00F65A5F" w:rsidRDefault="00000000">
      <w:pPr>
        <w:pStyle w:val="Ttulo1"/>
        <w:rPr>
          <w:rFonts w:ascii="Century" w:hAnsi="Century"/>
          <w:color w:val="auto"/>
          <w:sz w:val="22"/>
          <w:szCs w:val="22"/>
        </w:rPr>
      </w:pPr>
      <w:r w:rsidRPr="00F65A5F">
        <w:rPr>
          <w:rFonts w:ascii="Century" w:hAnsi="Century"/>
          <w:color w:val="auto"/>
          <w:sz w:val="22"/>
          <w:szCs w:val="22"/>
        </w:rPr>
        <w:t>3. State Evolution</w:t>
      </w:r>
    </w:p>
    <w:p w14:paraId="22388FEB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The evolution of the system is defined as:</w:t>
      </w:r>
    </w:p>
    <w:p w14:paraId="6EF5DF0B" w14:textId="77777777" w:rsidR="00F457E4" w:rsidRPr="00F65A5F" w:rsidRDefault="00000000">
      <w:pPr>
        <w:jc w:val="center"/>
        <w:rPr>
          <w:rFonts w:ascii="Century" w:hAnsi="Century"/>
          <w:lang w:val="es-CO"/>
        </w:rPr>
      </w:pPr>
      <w:r w:rsidRPr="00F65A5F">
        <w:rPr>
          <w:rFonts w:ascii="Century" w:eastAsia="Courier New" w:hAnsi="Century"/>
          <w:lang w:val="es-CO"/>
        </w:rPr>
        <w:t>|</w:t>
      </w:r>
      <w:r w:rsidRPr="00F65A5F">
        <w:rPr>
          <w:rFonts w:ascii="Century" w:eastAsia="Courier New" w:hAnsi="Century"/>
        </w:rPr>
        <w:t>ψ</w:t>
      </w:r>
      <w:r w:rsidRPr="00F65A5F">
        <w:rPr>
          <w:rFonts w:ascii="Century" w:eastAsia="Courier New" w:hAnsi="Century"/>
          <w:lang w:val="es-CO"/>
        </w:rPr>
        <w:t>(t)</w:t>
      </w:r>
      <w:r w:rsidRPr="00F65A5F">
        <w:rPr>
          <w:rFonts w:ascii="Cambria Math" w:eastAsia="Courier New" w:hAnsi="Cambria Math" w:cs="Cambria Math"/>
        </w:rPr>
        <w:t>⟩</w:t>
      </w:r>
      <w:r w:rsidRPr="00F65A5F">
        <w:rPr>
          <w:rFonts w:ascii="Century" w:eastAsia="Courier New" w:hAnsi="Century"/>
          <w:lang w:val="es-CO"/>
        </w:rPr>
        <w:t xml:space="preserve"> = </w:t>
      </w:r>
      <w:r w:rsidRPr="00F65A5F">
        <w:rPr>
          <w:rFonts w:ascii="Century" w:eastAsia="Courier New" w:hAnsi="Century"/>
        </w:rPr>
        <w:t>Λ</w:t>
      </w:r>
      <w:r w:rsidRPr="00F65A5F">
        <w:rPr>
          <w:rFonts w:ascii="Times New Roman" w:eastAsia="Courier New" w:hAnsi="Times New Roman" w:cs="Times New Roman"/>
          <w:lang w:val="es-CO"/>
        </w:rPr>
        <w:t>̂</w:t>
      </w:r>
      <w:r w:rsidRPr="00F65A5F">
        <w:rPr>
          <w:rFonts w:ascii="Century" w:eastAsia="Courier New" w:hAnsi="Century"/>
          <w:lang w:val="es-CO"/>
        </w:rPr>
        <w:t>(</w:t>
      </w:r>
      <w:proofErr w:type="gramStart"/>
      <w:r w:rsidRPr="00F65A5F">
        <w:rPr>
          <w:rFonts w:ascii="Century" w:eastAsia="Courier New" w:hAnsi="Century"/>
          <w:lang w:val="es-CO"/>
        </w:rPr>
        <w:t>E,O</w:t>
      </w:r>
      <w:proofErr w:type="gramEnd"/>
      <w:r w:rsidRPr="00F65A5F">
        <w:rPr>
          <w:rFonts w:ascii="Century" w:eastAsia="Courier New" w:hAnsi="Century"/>
          <w:lang w:val="es-CO"/>
        </w:rPr>
        <w:t>,</w:t>
      </w:r>
      <w:proofErr w:type="gramStart"/>
      <w:r w:rsidRPr="00F65A5F">
        <w:rPr>
          <w:rFonts w:ascii="Century" w:eastAsia="Courier New" w:hAnsi="Century"/>
          <w:lang w:val="es-CO"/>
        </w:rPr>
        <w:t>S,FNRR</w:t>
      </w:r>
      <w:proofErr w:type="gramEnd"/>
      <w:r w:rsidRPr="00F65A5F">
        <w:rPr>
          <w:rFonts w:ascii="Century" w:eastAsia="Courier New" w:hAnsi="Century"/>
          <w:lang w:val="es-CO"/>
        </w:rPr>
        <w:t>) |</w:t>
      </w:r>
      <w:r w:rsidRPr="00F65A5F">
        <w:rPr>
          <w:rFonts w:ascii="Century" w:eastAsia="Courier New" w:hAnsi="Century" w:cs="Century"/>
        </w:rPr>
        <w:t>ψ</w:t>
      </w:r>
      <w:r w:rsidRPr="00F65A5F">
        <w:rPr>
          <w:rFonts w:ascii="Cambria Math" w:eastAsia="Courier New" w:hAnsi="Cambria Math" w:cs="Cambria Math"/>
          <w:lang w:val="es-CO"/>
        </w:rPr>
        <w:t>₀</w:t>
      </w:r>
      <w:r w:rsidRPr="00F65A5F">
        <w:rPr>
          <w:rFonts w:ascii="Cambria Math" w:eastAsia="Courier New" w:hAnsi="Cambria Math" w:cs="Cambria Math"/>
        </w:rPr>
        <w:t>⟩</w:t>
      </w:r>
    </w:p>
    <w:p w14:paraId="697A9D6F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This formulation allows interpreting wind behavior as a trajectory in a state space, where each state represents a physical configuration of the system.</w:t>
      </w:r>
    </w:p>
    <w:p w14:paraId="1FF68FA8" w14:textId="77777777" w:rsidR="00F457E4" w:rsidRPr="00F65A5F" w:rsidRDefault="00000000">
      <w:pPr>
        <w:pStyle w:val="Ttulo1"/>
        <w:rPr>
          <w:rFonts w:ascii="Century" w:hAnsi="Century"/>
          <w:color w:val="auto"/>
          <w:sz w:val="22"/>
          <w:szCs w:val="22"/>
        </w:rPr>
      </w:pPr>
      <w:r w:rsidRPr="00F65A5F">
        <w:rPr>
          <w:rFonts w:ascii="Century" w:hAnsi="Century"/>
          <w:color w:val="auto"/>
          <w:sz w:val="22"/>
          <w:szCs w:val="22"/>
        </w:rPr>
        <w:lastRenderedPageBreak/>
        <w:t>4. Formal Definition of FNRR</w:t>
      </w:r>
    </w:p>
    <w:p w14:paraId="50F1DBD3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The Factor of Regional Non-Regularity (FNRR) is defined as a dimensionless quantity that measures the deviation of the system from an ideal structured behavior.</w:t>
      </w:r>
    </w:p>
    <w:p w14:paraId="698B058B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Let X(t) be a representative variable of the system (e.g., wind speed or wind power density).</w:t>
      </w:r>
    </w:p>
    <w:p w14:paraId="156081D0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FNRR is defined as:</w:t>
      </w:r>
    </w:p>
    <w:p w14:paraId="3260B3A6" w14:textId="77777777" w:rsidR="00F457E4" w:rsidRPr="00F65A5F" w:rsidRDefault="00000000">
      <w:pPr>
        <w:jc w:val="center"/>
        <w:rPr>
          <w:rFonts w:ascii="Century" w:hAnsi="Century"/>
        </w:rPr>
      </w:pPr>
      <w:r w:rsidRPr="00F65A5F">
        <w:rPr>
          <w:rFonts w:ascii="Century" w:eastAsia="Courier New" w:hAnsi="Century"/>
        </w:rPr>
        <w:t>FNRR = 1 - (E_struct / E_total)</w:t>
      </w:r>
    </w:p>
    <w:p w14:paraId="42D8ABCA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where:</w:t>
      </w:r>
    </w:p>
    <w:p w14:paraId="0D433EF9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E_total: total energy of the system</w:t>
      </w:r>
    </w:p>
    <w:p w14:paraId="67D3A115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E_</w:t>
      </w:r>
      <w:proofErr w:type="gramStart"/>
      <w:r w:rsidRPr="00F65A5F">
        <w:rPr>
          <w:rFonts w:ascii="Century" w:hAnsi="Century"/>
        </w:rPr>
        <w:t>struct:</w:t>
      </w:r>
      <w:proofErr w:type="gramEnd"/>
      <w:r w:rsidRPr="00F65A5F">
        <w:rPr>
          <w:rFonts w:ascii="Century" w:hAnsi="Century"/>
        </w:rPr>
        <w:t xml:space="preserve"> energy associated with the structured component</w:t>
      </w:r>
    </w:p>
    <w:p w14:paraId="3CD79F89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This definition implies:</w:t>
      </w:r>
    </w:p>
    <w:p w14:paraId="37101CBE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FNRR → 0: highly structured system (high predictability)</w:t>
      </w:r>
    </w:p>
    <w:p w14:paraId="002B73ED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FNRR → 1: highly irregular system (low predictability)</w:t>
      </w:r>
    </w:p>
    <w:p w14:paraId="1E0B08D7" w14:textId="77777777" w:rsidR="00F457E4" w:rsidRPr="00F65A5F" w:rsidRDefault="00000000">
      <w:pPr>
        <w:pStyle w:val="Ttulo2"/>
        <w:rPr>
          <w:rFonts w:ascii="Century" w:hAnsi="Century"/>
          <w:color w:val="auto"/>
          <w:sz w:val="22"/>
          <w:szCs w:val="22"/>
        </w:rPr>
      </w:pPr>
      <w:r w:rsidRPr="00F65A5F">
        <w:rPr>
          <w:rFonts w:ascii="Century" w:hAnsi="Century"/>
          <w:color w:val="auto"/>
          <w:sz w:val="22"/>
          <w:szCs w:val="22"/>
        </w:rPr>
        <w:t>4.1 Spectral Interpretation</w:t>
      </w:r>
    </w:p>
    <w:p w14:paraId="285EED5C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From a spectral perspective, the signal X(t) can be decomposed into:</w:t>
      </w:r>
    </w:p>
    <w:p w14:paraId="5CC4AEB3" w14:textId="77777777" w:rsidR="00F457E4" w:rsidRPr="00F65A5F" w:rsidRDefault="00000000">
      <w:pPr>
        <w:jc w:val="center"/>
        <w:rPr>
          <w:rFonts w:ascii="Century" w:hAnsi="Century"/>
        </w:rPr>
      </w:pPr>
      <w:r w:rsidRPr="00F65A5F">
        <w:rPr>
          <w:rFonts w:ascii="Century" w:eastAsia="Courier New" w:hAnsi="Century"/>
        </w:rPr>
        <w:t>X(t) = X_struct(t) + X_noise(t)</w:t>
      </w:r>
    </w:p>
    <w:p w14:paraId="006EDF6D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where:</w:t>
      </w:r>
    </w:p>
    <w:p w14:paraId="387DF645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X_struct(t): structured component (low entropy)</w:t>
      </w:r>
    </w:p>
    <w:p w14:paraId="535D8C35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X_noise(t): stochastic component (high entropy)</w:t>
      </w:r>
    </w:p>
    <w:p w14:paraId="46D8BC13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Thus:</w:t>
      </w:r>
    </w:p>
    <w:p w14:paraId="03B3F12F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E_struct corresponds to the energy of X_struct(t)</w:t>
      </w:r>
    </w:p>
    <w:p w14:paraId="2938481B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E_total corresponds to the total signal energy</w:t>
      </w:r>
    </w:p>
    <w:p w14:paraId="6F32F7D7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FNRR therefore quantifies the proportion of non-structured energy within the system.</w:t>
      </w:r>
    </w:p>
    <w:p w14:paraId="115AF09D" w14:textId="77777777" w:rsidR="00F457E4" w:rsidRPr="00F65A5F" w:rsidRDefault="00000000">
      <w:pPr>
        <w:pStyle w:val="Ttulo2"/>
        <w:rPr>
          <w:rFonts w:ascii="Century" w:hAnsi="Century"/>
          <w:color w:val="auto"/>
          <w:sz w:val="22"/>
          <w:szCs w:val="22"/>
        </w:rPr>
      </w:pPr>
      <w:r w:rsidRPr="00F65A5F">
        <w:rPr>
          <w:rFonts w:ascii="Century" w:hAnsi="Century"/>
          <w:color w:val="auto"/>
          <w:sz w:val="22"/>
          <w:szCs w:val="22"/>
        </w:rPr>
        <w:t>4.2 Relation to Entropy</w:t>
      </w:r>
    </w:p>
    <w:p w14:paraId="68CD7419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FNRR can be interpreted as an indirect measure of system entropy:</w:t>
      </w:r>
    </w:p>
    <w:p w14:paraId="2CEBE4B6" w14:textId="77777777" w:rsidR="00F457E4" w:rsidRPr="00F65A5F" w:rsidRDefault="00000000">
      <w:pPr>
        <w:jc w:val="center"/>
        <w:rPr>
          <w:rFonts w:ascii="Century" w:hAnsi="Century"/>
        </w:rPr>
      </w:pPr>
      <w:r w:rsidRPr="00F65A5F">
        <w:rPr>
          <w:rFonts w:ascii="Century" w:eastAsia="Courier New" w:hAnsi="Century"/>
        </w:rPr>
        <w:t xml:space="preserve">FNRR </w:t>
      </w:r>
      <w:r w:rsidRPr="00F65A5F">
        <w:rPr>
          <w:rFonts w:ascii="Cambria Math" w:eastAsia="Courier New" w:hAnsi="Cambria Math" w:cs="Cambria Math"/>
        </w:rPr>
        <w:t>∝</w:t>
      </w:r>
      <w:r w:rsidRPr="00F65A5F">
        <w:rPr>
          <w:rFonts w:ascii="Century" w:eastAsia="Courier New" w:hAnsi="Century"/>
        </w:rPr>
        <w:t xml:space="preserve"> S</w:t>
      </w:r>
    </w:p>
    <w:p w14:paraId="70B1D6BB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lastRenderedPageBreak/>
        <w:t>where S denotes entropy.</w:t>
      </w:r>
    </w:p>
    <w:p w14:paraId="7187C21C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Thus:</w:t>
      </w:r>
    </w:p>
    <w:p w14:paraId="002EA7E2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Higher FNRR → higher entropy → higher uncertainty</w:t>
      </w:r>
    </w:p>
    <w:p w14:paraId="18EB3862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Lower FNRR → higher order → greater predictability</w:t>
      </w:r>
    </w:p>
    <w:p w14:paraId="12DED2AF" w14:textId="77777777" w:rsidR="00F457E4" w:rsidRPr="00F65A5F" w:rsidRDefault="00000000">
      <w:pPr>
        <w:pStyle w:val="Ttulo1"/>
        <w:rPr>
          <w:rFonts w:ascii="Century" w:hAnsi="Century"/>
          <w:color w:val="auto"/>
          <w:sz w:val="22"/>
          <w:szCs w:val="22"/>
        </w:rPr>
      </w:pPr>
      <w:r w:rsidRPr="00F65A5F">
        <w:rPr>
          <w:rFonts w:ascii="Century" w:hAnsi="Century"/>
          <w:color w:val="auto"/>
          <w:sz w:val="22"/>
          <w:szCs w:val="22"/>
        </w:rPr>
        <w:t>5. Usable Energy Definition</w:t>
      </w:r>
    </w:p>
    <w:p w14:paraId="09454592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The usable energy of the system is defined as:</w:t>
      </w:r>
    </w:p>
    <w:p w14:paraId="418AAE56" w14:textId="77777777" w:rsidR="00F457E4" w:rsidRPr="00F65A5F" w:rsidRDefault="00000000">
      <w:pPr>
        <w:jc w:val="center"/>
        <w:rPr>
          <w:rFonts w:ascii="Century" w:hAnsi="Century"/>
        </w:rPr>
      </w:pPr>
      <w:r w:rsidRPr="00F65A5F">
        <w:rPr>
          <w:rFonts w:ascii="Century" w:eastAsia="Courier New" w:hAnsi="Century"/>
        </w:rPr>
        <w:t>E_usable = (1 - FNRR) E_free</w:t>
      </w:r>
    </w:p>
    <w:p w14:paraId="004F0367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where:</w:t>
      </w:r>
    </w:p>
    <w:p w14:paraId="72422A28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E_free: total available energy</w:t>
      </w:r>
    </w:p>
    <w:p w14:paraId="6F583305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E_usable: effectively exploitable energy</w:t>
      </w:r>
    </w:p>
    <w:p w14:paraId="25AA4406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This formulation introduces structural complexity as a modulating factor of energy usability.</w:t>
      </w:r>
    </w:p>
    <w:p w14:paraId="100061BD" w14:textId="77777777" w:rsidR="00F457E4" w:rsidRPr="00F65A5F" w:rsidRDefault="00000000">
      <w:pPr>
        <w:pStyle w:val="Ttulo1"/>
        <w:rPr>
          <w:rFonts w:ascii="Century" w:hAnsi="Century"/>
          <w:color w:val="auto"/>
          <w:sz w:val="22"/>
          <w:szCs w:val="22"/>
        </w:rPr>
      </w:pPr>
      <w:r w:rsidRPr="00F65A5F">
        <w:rPr>
          <w:rFonts w:ascii="Century" w:hAnsi="Century"/>
          <w:color w:val="auto"/>
          <w:sz w:val="22"/>
          <w:szCs w:val="22"/>
        </w:rPr>
        <w:t>6. Model Interpretation</w:t>
      </w:r>
    </w:p>
    <w:p w14:paraId="79B2550A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The proposed model redefines wind prediction as a physical state evolution problem rather than a purely statistical task.</w:t>
      </w:r>
    </w:p>
    <w:p w14:paraId="4975687A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Within this framework:</w:t>
      </w:r>
    </w:p>
    <w:p w14:paraId="3835F64C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Data correspond to measurements of system states</w:t>
      </w:r>
    </w:p>
    <w:p w14:paraId="0936A39F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The model describes system evolution</w:t>
      </w:r>
    </w:p>
    <w:p w14:paraId="102FAE5B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FNRR quantifies structural complexity</w:t>
      </w:r>
    </w:p>
    <w:p w14:paraId="10409741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• Prediction corresponds to state projection in time</w:t>
      </w:r>
    </w:p>
    <w:p w14:paraId="18F742F3" w14:textId="77777777" w:rsidR="00F457E4" w:rsidRPr="00F65A5F" w:rsidRDefault="00000000">
      <w:pPr>
        <w:rPr>
          <w:rFonts w:ascii="Century" w:hAnsi="Century"/>
        </w:rPr>
      </w:pPr>
      <w:r w:rsidRPr="00F65A5F">
        <w:rPr>
          <w:rFonts w:ascii="Century" w:hAnsi="Century"/>
        </w:rPr>
        <w:t>This approach enables the integration of physics, statistics, and data science into a unified modeling framework.</w:t>
      </w:r>
    </w:p>
    <w:sectPr w:rsidR="00F457E4" w:rsidRPr="00F65A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547209">
    <w:abstractNumId w:val="8"/>
  </w:num>
  <w:num w:numId="2" w16cid:durableId="678044647">
    <w:abstractNumId w:val="6"/>
  </w:num>
  <w:num w:numId="3" w16cid:durableId="1611204509">
    <w:abstractNumId w:val="5"/>
  </w:num>
  <w:num w:numId="4" w16cid:durableId="85001821">
    <w:abstractNumId w:val="4"/>
  </w:num>
  <w:num w:numId="5" w16cid:durableId="500193878">
    <w:abstractNumId w:val="7"/>
  </w:num>
  <w:num w:numId="6" w16cid:durableId="1660112970">
    <w:abstractNumId w:val="3"/>
  </w:num>
  <w:num w:numId="7" w16cid:durableId="1328905325">
    <w:abstractNumId w:val="2"/>
  </w:num>
  <w:num w:numId="8" w16cid:durableId="1447118628">
    <w:abstractNumId w:val="1"/>
  </w:num>
  <w:num w:numId="9" w16cid:durableId="30632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FFD"/>
    <w:rsid w:val="0029639D"/>
    <w:rsid w:val="00326F90"/>
    <w:rsid w:val="004B65B6"/>
    <w:rsid w:val="00AA1D8D"/>
    <w:rsid w:val="00B47730"/>
    <w:rsid w:val="00CB0664"/>
    <w:rsid w:val="00F457E4"/>
    <w:rsid w:val="00F65A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900B76"/>
  <w14:defaultImageDpi w14:val="300"/>
  <w15:docId w15:val="{31ED5188-FFFB-4151-81AE-FE6E9536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Favio Nicolás Rosero Rodriguez</cp:lastModifiedBy>
  <cp:revision>2</cp:revision>
  <dcterms:created xsi:type="dcterms:W3CDTF">2026-04-22T22:52:00Z</dcterms:created>
  <dcterms:modified xsi:type="dcterms:W3CDTF">2026-04-22T22:52:00Z</dcterms:modified>
  <cp:category/>
</cp:coreProperties>
</file>