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pPr>
        <w:pStyle w:val="ListBullet"/>
      </w:pPr>
      <w:r>
        <w:rPr>
          <w:sz w:val="22"/>
        </w:rPr>
        <w:t>WPD was characterized as a physical state variable in complex Andean terrain.</w:t>
      </w:r>
    </w:p>
    <w:p>
      <w:pPr>
        <w:pStyle w:val="ListBullet"/>
      </w:pPr>
      <w:r>
        <w:rPr>
          <w:sz w:val="22"/>
        </w:rPr>
        <w:t>Zone 1 showed intermittent energetic dominance driven by high-speed tails.</w:t>
      </w:r>
    </w:p>
    <w:p>
      <w:pPr>
        <w:pStyle w:val="ListBullet"/>
      </w:pPr>
      <w:r>
        <w:rPr>
          <w:sz w:val="22"/>
        </w:rPr>
        <w:t>Weibull fitting captured zone-dependent wind-speed probability structures.</w:t>
      </w:r>
    </w:p>
    <w:p>
      <w:pPr>
        <w:pStyle w:val="ListBullet"/>
      </w:pPr>
      <w:r>
        <w:rPr>
          <w:sz w:val="22"/>
        </w:rPr>
        <w:t>Daily WPD revealed temporal memory rather than independent fluctuations.</w:t>
      </w:r>
    </w:p>
    <w:p>
      <w:pPr>
        <w:pStyle w:val="ListBullet"/>
      </w:pPr>
      <w:r>
        <w:rPr>
          <w:sz w:val="22"/>
        </w:rPr>
        <w:t>FFT identified distinct spectral-energy signatures across analytical zones.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