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2"/>
        </w:rPr>
        <w:t>June 11, 2026</w:t>
      </w:r>
    </w:p>
    <w:p>
      <w:r>
        <w:rPr>
          <w:b/>
        </w:rPr>
        <w:t>Editorial Office</w:t>
        <w:br/>
        <w:t>Energy Reports</w:t>
      </w:r>
    </w:p>
    <w:p>
      <w:pPr>
        <w:spacing w:after="120" w:line="259" w:lineRule="auto"/>
      </w:pPr>
      <w:r>
        <w:t>Dear Editor,</w:t>
      </w:r>
    </w:p>
    <w:p>
      <w:pPr>
        <w:spacing w:after="120" w:line="259" w:lineRule="auto"/>
      </w:pPr>
      <w:r>
        <w:t>Please consider our manuscript entitled “Physical–statistical characterization of wind power density in complex Andean terrain: A multi-station study in Nariño, Colombia” for publication as a Research Article in Energy Reports.</w:t>
      </w:r>
    </w:p>
    <w:p>
      <w:pPr>
        <w:spacing w:after="120" w:line="259" w:lineRule="auto"/>
      </w:pPr>
      <w:r>
        <w:t>This manuscript presents a physical–statistical and spectral characterization of wind power density (WPD) in the department of Nariño, Colombia, using IDEAM multi-station meteorological observations from 2017 to 2022 grouped into four analytical zones. The study estimates WPD from wind speed and daily zone-level air density, applies a conservative wind-speed quality-control criterion, compares Weibull and Rayleigh distributional models, evaluates temporal memory using autocorrelation diagnostics, and identifies dominant temporal-energy regimes using FFT-based spectral-band decomposition.</w:t>
      </w:r>
    </w:p>
    <w:p>
      <w:pPr>
        <w:spacing w:after="120" w:line="259" w:lineRule="auto"/>
      </w:pPr>
      <w:r>
        <w:t>The main contribution of the work is the interpretation of WPD as a physical state variable in complex Andean terrain, rather than only as a descriptive energy indicator. The results show that Zone 1 presents intermittent energetic dominance driven by high-speed distributional tails, strong temporal persistence and low-frequency spectral organization. These findings provide regional physical–statistical evidence that can support future forecasting-oriented studies, uncertainty analysis and terrain-specific wind-resource modeling, without claiming turbine-level feasibility or commercial wind-farm viability.</w:t>
      </w:r>
    </w:p>
    <w:p>
      <w:pPr>
        <w:spacing w:after="120" w:line="259" w:lineRule="auto"/>
      </w:pPr>
      <w:r>
        <w:t>We believe the manuscript is suitable for Energy Reports because it contributes to renewable-energy assessment, wind-resource characterization and reproducible energy-data analysis in a complex-terrain region that remains underrepresented in the literature. The manuscript includes the main text, figures, tables and supplementary material. The associated computational workflow is documented through the project repository, while raw IDEAM records are not redistributed due to source-data redistribution considerations.</w:t>
      </w:r>
    </w:p>
    <w:p>
      <w:pPr>
        <w:spacing w:after="120" w:line="259" w:lineRule="auto"/>
      </w:pPr>
      <w:r>
        <w:t>All authors have approved the manuscript and agree with its submission to Energy Reports. The manuscript has not been published previously and is not under consideration elsewhere. The authors declare no known competing financial interests or personal relationships that could have appeared to influence the work reported in this paper. This research did not receive any specific grant from funding agencies in the public, commercial or not-for-profit sectors.</w:t>
      </w:r>
    </w:p>
    <w:p>
      <w:pPr>
        <w:spacing w:after="120" w:line="259" w:lineRule="auto"/>
      </w:pPr>
      <w:r>
        <w:t>During manuscript preparation, the corresponding author used ChatGPT as an AI-assisted tool to support manuscript organization, editorial planning, language refinement and code-review discussion. All scientific analyses, data processing, statistical calculations, figures and tables were generated from the author-controlled research workflow in R. All authors reviewed, edited and verified the manuscript content and take full responsibility for the submitted work.</w:t>
      </w:r>
    </w:p>
    <w:p>
      <w:pPr>
        <w:spacing w:after="120" w:line="259" w:lineRule="auto"/>
      </w:pPr>
      <w:r>
        <w:t>Thank you for considering our manuscript for publication in Energy Reports.</w:t>
      </w:r>
    </w:p>
    <w:p>
      <w:pPr>
        <w:spacing w:after="120" w:line="259" w:lineRule="auto"/>
      </w:pPr>
      <w:r>
        <w:t>Sincerely,</w:t>
      </w:r>
    </w:p>
    <w:p>
      <w:pPr>
        <w:spacing w:after="120" w:line="259" w:lineRule="auto"/>
      </w:pPr>
      <w:r>
        <w:t>Favio Nicolás Rosero Rodríguez</w:t>
      </w:r>
      <w:r>
        <w:br/>
      </w:r>
      <w:r>
        <w:t>Corresponding author</w:t>
      </w:r>
      <w:r>
        <w:br/>
      </w:r>
      <w:r>
        <w:t>GISMAR Grupo de Investigación de Ingeniería de Sistemas, Universidad Mariana, Pasto 520001, Colombia</w:t>
      </w:r>
      <w:r>
        <w:br/>
      </w:r>
      <w:r>
        <w:t>E-mail: favionrosero@umariana.edu.co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