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80"/>
        <w:jc w:val="center"/>
      </w:pPr>
      <w:r>
        <w:rPr>
          <w:rFonts w:ascii="Times New Roman" w:hAnsi="Times New Roman" w:eastAsia="Times New Roman"/>
          <w:b/>
          <w:sz w:val="28"/>
        </w:rPr>
        <w:t>Supplementary Material</w:t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  <w:i/>
          <w:sz w:val="22"/>
        </w:rPr>
        <w:t>Physical–statistical characterization of wind power density in complex Andean terrain: A multi-station study in Nariño, Colombia</w:t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  <w:sz w:val="20"/>
        </w:rPr>
        <w:t>F.N. Rosero-Rodríguez et al.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sz w:val="20"/>
        </w:rPr>
        <w:t>This file contains supplementary figures supporting the quality-control, distributional, temporal-dependence and spectral analyses reported in the main manuscript.</w:t>
      </w:r>
    </w:p>
    <w:p>
      <w:pPr>
        <w:spacing w:line="240" w:lineRule="auto" w:after="80"/>
      </w:pPr>
      <w:r>
        <w:rPr>
          <w:rFonts w:ascii="Times New Roman" w:hAnsi="Times New Roman" w:eastAsia="Times New Roman"/>
        </w:rPr>
        <w:br w:type="page"/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6126480" cy="42204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1_QC_sensitivity_mean_WPD_F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220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 w:line="240" w:lineRule="auto"/>
        <w:jc w:val="both"/>
      </w:pPr>
      <w:r>
        <w:rPr>
          <w:rFonts w:ascii="Times New Roman" w:hAnsi="Times New Roman" w:eastAsia="Times New Roman"/>
          <w:b/>
          <w:sz w:val="20"/>
        </w:rPr>
        <w:t xml:space="preserve">Fig. S1. </w:t>
      </w:r>
      <w:r>
        <w:rPr>
          <w:rFonts w:ascii="Times New Roman" w:hAnsi="Times New Roman" w:eastAsia="Times New Roman"/>
          <w:sz w:val="20"/>
        </w:rPr>
        <w:t>Quality-control sensitivity of mean wind power density (WPD) by analytical zone. The figure summarizes the effect of the selected wind-speed quality-control threshold on zone-level mean WPD and supports the use of the conservative article-level criterion.</w:t>
      </w:r>
    </w:p>
    <w:p>
      <w:pPr>
        <w:spacing w:line="240" w:lineRule="auto" w:after="80"/>
      </w:pPr>
      <w:r>
        <w:rPr>
          <w:rFonts w:ascii="Times New Roman" w:hAnsi="Times New Roman" w:eastAsia="Times New Roman"/>
        </w:rPr>
        <w:br w:type="page"/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6126480" cy="46288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2_delta_AIC_BIC_weibull_rayleigh_comparison_F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28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 w:line="240" w:lineRule="auto"/>
        <w:jc w:val="both"/>
      </w:pPr>
      <w:r>
        <w:rPr>
          <w:rFonts w:ascii="Times New Roman" w:hAnsi="Times New Roman" w:eastAsia="Times New Roman"/>
          <w:b/>
          <w:sz w:val="20"/>
        </w:rPr>
        <w:t xml:space="preserve">Fig. S2. </w:t>
      </w:r>
      <w:r>
        <w:rPr>
          <w:rFonts w:ascii="Times New Roman" w:hAnsi="Times New Roman" w:eastAsia="Times New Roman"/>
          <w:sz w:val="20"/>
        </w:rPr>
        <w:t>Delta AIC and BIC comparison between Weibull and Rayleigh distribution models by analytical zone. Lower information-criterion values indicate better relative model performance.</w:t>
      </w:r>
    </w:p>
    <w:p>
      <w:pPr>
        <w:spacing w:line="240" w:lineRule="auto" w:after="80"/>
      </w:pPr>
      <w:r>
        <w:rPr>
          <w:rFonts w:ascii="Times New Roman" w:hAnsi="Times New Roman" w:eastAsia="Times New Roman"/>
        </w:rPr>
        <w:br w:type="page"/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6126480" cy="44927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3_daily_WPD_PACF_by_zone_F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92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 w:line="240" w:lineRule="auto"/>
        <w:jc w:val="both"/>
      </w:pPr>
      <w:r>
        <w:rPr>
          <w:rFonts w:ascii="Times New Roman" w:hAnsi="Times New Roman" w:eastAsia="Times New Roman"/>
          <w:b/>
          <w:sz w:val="20"/>
        </w:rPr>
        <w:t xml:space="preserve">Fig. S3. </w:t>
      </w:r>
      <w:r>
        <w:rPr>
          <w:rFonts w:ascii="Times New Roman" w:hAnsi="Times New Roman" w:eastAsia="Times New Roman"/>
          <w:sz w:val="20"/>
        </w:rPr>
        <w:t>Daily partial autocorrelation function of wind power density by analytical zone. PACF was used as a supplementary diagnostic of direct short-lag dependence in the daily WPD signal.</w:t>
      </w:r>
    </w:p>
    <w:p>
      <w:pPr>
        <w:spacing w:line="240" w:lineRule="auto" w:after="80"/>
      </w:pPr>
      <w:r>
        <w:rPr>
          <w:rFonts w:ascii="Times New Roman" w:hAnsi="Times New Roman" w:eastAsia="Times New Roman"/>
        </w:rPr>
        <w:br w:type="page"/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6126480" cy="44927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4_daily_VV_ACF_by_zone_F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92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 w:line="240" w:lineRule="auto"/>
        <w:jc w:val="both"/>
      </w:pPr>
      <w:r>
        <w:rPr>
          <w:rFonts w:ascii="Times New Roman" w:hAnsi="Times New Roman" w:eastAsia="Times New Roman"/>
          <w:b/>
          <w:sz w:val="20"/>
        </w:rPr>
        <w:t xml:space="preserve">Fig. S4. </w:t>
      </w:r>
      <w:r>
        <w:rPr>
          <w:rFonts w:ascii="Times New Roman" w:hAnsi="Times New Roman" w:eastAsia="Times New Roman"/>
          <w:sz w:val="20"/>
        </w:rPr>
        <w:t>Daily autocorrelation function of wind speed by analytical zone. The figure provides a supplementary comparison between the kinematic wind-speed state and the energetic WPD state.</w:t>
      </w:r>
    </w:p>
    <w:p>
      <w:pPr>
        <w:spacing w:line="240" w:lineRule="auto" w:after="80"/>
      </w:pPr>
      <w:r>
        <w:rPr>
          <w:rFonts w:ascii="Times New Roman" w:hAnsi="Times New Roman" w:eastAsia="Times New Roman"/>
        </w:rPr>
        <w:br w:type="page"/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6126480" cy="44927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5_daily_VV_PACF_by_zone_F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92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 w:line="240" w:lineRule="auto"/>
        <w:jc w:val="both"/>
      </w:pPr>
      <w:r>
        <w:rPr>
          <w:rFonts w:ascii="Times New Roman" w:hAnsi="Times New Roman" w:eastAsia="Times New Roman"/>
          <w:b/>
          <w:sz w:val="20"/>
        </w:rPr>
        <w:t xml:space="preserve">Fig. S5. </w:t>
      </w:r>
      <w:r>
        <w:rPr>
          <w:rFonts w:ascii="Times New Roman" w:hAnsi="Times New Roman" w:eastAsia="Times New Roman"/>
          <w:sz w:val="20"/>
        </w:rPr>
        <w:t>Daily partial autocorrelation function of wind speed by analytical zone. PACF was used as a supplementary diagnostic of direct short-lag dependence in the wind-speed signal.</w:t>
      </w:r>
    </w:p>
    <w:p>
      <w:pPr>
        <w:spacing w:line="240" w:lineRule="auto" w:after="80"/>
      </w:pPr>
      <w:r>
        <w:rPr>
          <w:rFonts w:ascii="Times New Roman" w:hAnsi="Times New Roman" w:eastAsia="Times New Roman"/>
        </w:rPr>
        <w:br w:type="page"/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6126480" cy="44927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6_daily_WPD_FFT_spectrum_by_zone_FI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92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 w:line="240" w:lineRule="auto"/>
        <w:jc w:val="both"/>
      </w:pPr>
      <w:r>
        <w:rPr>
          <w:rFonts w:ascii="Times New Roman" w:hAnsi="Times New Roman" w:eastAsia="Times New Roman"/>
          <w:b/>
          <w:sz w:val="20"/>
        </w:rPr>
        <w:t xml:space="preserve">Fig. S6. </w:t>
      </w:r>
      <w:r>
        <w:rPr>
          <w:rFonts w:ascii="Times New Roman" w:hAnsi="Times New Roman" w:eastAsia="Times New Roman"/>
          <w:sz w:val="20"/>
        </w:rPr>
        <w:t>FFT spectrum of daily wind power density by analytical zone. The figure shows the frequency-domain structure underlying the WPD spectral-band summary reported in the main manuscript.</w:t>
      </w:r>
    </w:p>
    <w:p>
      <w:pPr>
        <w:spacing w:line="240" w:lineRule="auto" w:after="80"/>
      </w:pPr>
      <w:r>
        <w:rPr>
          <w:rFonts w:ascii="Times New Roman" w:hAnsi="Times New Roman" w:eastAsia="Times New Roman"/>
        </w:rPr>
        <w:br w:type="page"/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6126480" cy="44927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7_daily_VV_FFT_spectrum_by_zone_FI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92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 w:line="240" w:lineRule="auto"/>
        <w:jc w:val="both"/>
      </w:pPr>
      <w:r>
        <w:rPr>
          <w:rFonts w:ascii="Times New Roman" w:hAnsi="Times New Roman" w:eastAsia="Times New Roman"/>
          <w:b/>
          <w:sz w:val="20"/>
        </w:rPr>
        <w:t xml:space="preserve">Fig. S7. </w:t>
      </w:r>
      <w:r>
        <w:rPr>
          <w:rFonts w:ascii="Times New Roman" w:hAnsi="Times New Roman" w:eastAsia="Times New Roman"/>
          <w:sz w:val="20"/>
        </w:rPr>
        <w:t>FFT spectrum of daily wind speed by analytical zone. The figure provides the supplementary frequency-domain characterization of the kinematic wind-speed signal.</w:t>
      </w:r>
    </w:p>
    <w:p>
      <w:pPr>
        <w:spacing w:line="240" w:lineRule="auto" w:after="80"/>
      </w:pPr>
      <w:r>
        <w:rPr>
          <w:rFonts w:ascii="Times New Roman" w:hAnsi="Times New Roman" w:eastAsia="Times New Roman"/>
        </w:rPr>
        <w:br w:type="page"/>
      </w:r>
    </w:p>
    <w:p>
      <w:pPr>
        <w:spacing w:line="240" w:lineRule="auto" w:after="80"/>
        <w:jc w:val="center"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6126480" cy="44927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8_daily_VV_FFT_band_energy_by_zone_FI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492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 w:line="240" w:lineRule="auto"/>
        <w:jc w:val="both"/>
      </w:pPr>
      <w:r>
        <w:rPr>
          <w:rFonts w:ascii="Times New Roman" w:hAnsi="Times New Roman" w:eastAsia="Times New Roman"/>
          <w:b/>
          <w:sz w:val="20"/>
        </w:rPr>
        <w:t xml:space="preserve">Fig. S8. </w:t>
      </w:r>
      <w:r>
        <w:rPr>
          <w:rFonts w:ascii="Times New Roman" w:hAnsi="Times New Roman" w:eastAsia="Times New Roman"/>
          <w:sz w:val="20"/>
        </w:rPr>
        <w:t>FFT-based spectral-band energy of daily wind speed by analytical zone. The figure summarizes the dominant period-band contributions of the wind-speed signal for comparison with WPD spectral behavior.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