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af67fb26b5407179b1cc472e3a20c668d4c2447"/>
    <w:p>
      <w:pPr>
        <w:pStyle w:val="Heading1"/>
      </w:pPr>
      <w:r>
        <w:t xml:space="preserve">Informe de auditoría de comunicación — wgic26.barcelona</w:t>
      </w:r>
    </w:p>
    <w:p>
      <w:pPr>
        <w:pStyle w:val="FirstParagraph"/>
      </w:pPr>
      <w:r>
        <w:rPr>
          <w:bCs/>
          <w:b/>
        </w:rPr>
        <w:t xml:space="preserve">Web auditada:</w:t>
      </w:r>
      <w:r>
        <w:t xml:space="preserve"> </w:t>
      </w:r>
      <w:r>
        <w:t xml:space="preserve">https://www.wgic26.barcelona/ (World Green Infrastructure Congress 2026, Barcelona–Lleida, 27–30 de octubre de 2026)</w:t>
      </w:r>
      <w:r>
        <w:t xml:space="preserve"> </w:t>
      </w:r>
      <w:r>
        <w:rPr>
          <w:bCs/>
          <w:b/>
        </w:rPr>
        <w:t xml:space="preserve">Fecha de la auditoría:</w:t>
      </w:r>
      <w:r>
        <w:t xml:space="preserve"> </w:t>
      </w:r>
      <w:r>
        <w:t xml:space="preserve">29 de julio de 2026</w:t>
      </w:r>
      <w:r>
        <w:t xml:space="preserve"> </w:t>
      </w:r>
      <w:r>
        <w:rPr>
          <w:bCs/>
          <w:b/>
        </w:rPr>
        <w:t xml:space="preserve">Enfoque:</w:t>
      </w:r>
      <w:r>
        <w:t xml:space="preserve"> </w:t>
      </w:r>
      <w:r>
        <w:t xml:space="preserve">claridad del mensaje, arquitectura de la información y flujo de registro, desde la perspectiva de un experto en comunicación digital.</w:t>
      </w:r>
    </w:p>
    <w:p>
      <w:r>
        <w:pict>
          <v:rect style="width:0;height:1.5pt" o:hralign="center" o:hrstd="t" o:hr="t"/>
        </w:pict>
      </w:r>
    </w:p>
    <w:bookmarkStart w:id="20" w:name="resumen-ejecutivo"/>
    <w:p>
      <w:pPr>
        <w:pStyle w:val="Heading2"/>
      </w:pPr>
      <w:r>
        <w:t xml:space="preserve">1. Resumen ejecutivo</w:t>
      </w:r>
    </w:p>
    <w:p>
      <w:pPr>
        <w:pStyle w:val="FirstParagraph"/>
      </w:pPr>
      <w:r>
        <w:t xml:space="preserve">La web de WGIC26 tiene buenos cimientos: un diseño visual cuidado y coherente con el sector (verde infraestructura), contenido completo (programa, ponentes, patrocinadores, estancia) y un mensaje de marca potente (</w:t>
      </w:r>
      <w:r>
        <w:t xml:space="preserve">“</w:t>
      </w:r>
      <w:r>
        <w:t xml:space="preserve">Where global leaders shape healthier, safer and more resilient cities</w:t>
      </w:r>
      <w:r>
        <w:t xml:space="preserve">”</w:t>
      </w:r>
      <w:r>
        <w:t xml:space="preserve">). Sin embargo,</w:t>
      </w:r>
      <w:r>
        <w:t xml:space="preserve"> </w:t>
      </w:r>
      <w:r>
        <w:rPr>
          <w:bCs/>
          <w:b/>
        </w:rPr>
        <w:t xml:space="preserve">la percepción de que</w:t>
      </w:r>
      <w:r>
        <w:rPr>
          <w:bCs/>
          <w:b/>
        </w:rPr>
        <w:t xml:space="preserve"> </w:t>
      </w:r>
      <w:r>
        <w:rPr>
          <w:bCs/>
          <w:b/>
        </w:rPr>
        <w:t xml:space="preserve">“</w:t>
      </w:r>
      <w:r>
        <w:rPr>
          <w:bCs/>
          <w:b/>
        </w:rPr>
        <w:t xml:space="preserve">las cosas están muy mezcladas y complicadas</w:t>
      </w:r>
      <w:r>
        <w:rPr>
          <w:bCs/>
          <w:b/>
        </w:rPr>
        <w:t xml:space="preserve">”</w:t>
      </w:r>
      <w:r>
        <w:rPr>
          <w:bCs/>
          <w:b/>
        </w:rPr>
        <w:t xml:space="preserve"> </w:t>
      </w:r>
      <w:r>
        <w:rPr>
          <w:bCs/>
          <w:b/>
        </w:rPr>
        <w:t xml:space="preserve">tiene fundamento real</w:t>
      </w:r>
      <w:r>
        <w:t xml:space="preserve">, y se concentra en cuatro problemas:</w:t>
      </w:r>
    </w:p>
    <w:p>
      <w:pPr>
        <w:numPr>
          <w:ilvl w:val="0"/>
          <w:numId w:val="1001"/>
        </w:numPr>
      </w:pPr>
      <w:r>
        <w:rPr>
          <w:bCs/>
          <w:b/>
        </w:rPr>
        <w:t xml:space="preserve">El registro —la acción más importante de la web— es el punto más débil.</w:t>
      </w:r>
      <w:r>
        <w:t xml:space="preserve"> </w:t>
      </w:r>
      <w:r>
        <w:t xml:space="preserve">El usuario debe superar hasta 5 fricciones antes de poder inscribirse: un popup al entrar, una cuenta atrás, un texto legal denso, un interruptor obligatorio apenas visible y un botón principal que parece desactivado. Después aterriza en una plataforma externa (Helice) con estética completamente distinta, sin la marca del congreso, con nombres de tarifa diferentes y con una URL que indica modo</w:t>
      </w:r>
      <w:r>
        <w:t xml:space="preserve"> </w:t>
      </w:r>
      <w:r>
        <w:t xml:space="preserve">“</w:t>
      </w:r>
      <w:r>
        <w:t xml:space="preserve">preview</w:t>
      </w:r>
      <w:r>
        <w:t xml:space="preserve">”</w:t>
      </w:r>
      <w:r>
        <w:t xml:space="preserve">. Cada una de estas fricciones provoca abandono y desconfianza.</w:t>
      </w:r>
    </w:p>
    <w:p>
      <w:pPr>
        <w:numPr>
          <w:ilvl w:val="0"/>
          <w:numId w:val="1001"/>
        </w:numPr>
      </w:pPr>
      <w:r>
        <w:rPr>
          <w:bCs/>
          <w:b/>
        </w:rPr>
        <w:t xml:space="preserve">Las fechas y los plazos se contradicen entre páginas</w:t>
      </w:r>
      <w:r>
        <w:t xml:space="preserve">, e incluso dentro de la misma página. Hay plazos ya vencidos presentados como abiertos, un</w:t>
      </w:r>
      <w:r>
        <w:t xml:space="preserve"> </w:t>
      </w:r>
      <w:r>
        <w:t xml:space="preserve">“</w:t>
      </w:r>
      <w:r>
        <w:t xml:space="preserve">programa final</w:t>
      </w:r>
      <w:r>
        <w:t xml:space="preserve">”</w:t>
      </w:r>
      <w:r>
        <w:t xml:space="preserve"> </w:t>
      </w:r>
      <w:r>
        <w:t xml:space="preserve">anunciado antes de la entrega final de papers, y dos formatos de póster distintos (A0 y A1) según la página que se consulte.</w:t>
      </w:r>
    </w:p>
    <w:p>
      <w:pPr>
        <w:numPr>
          <w:ilvl w:val="0"/>
          <w:numId w:val="1001"/>
        </w:numPr>
      </w:pPr>
      <w:r>
        <w:rPr>
          <w:bCs/>
          <w:b/>
        </w:rPr>
        <w:t xml:space="preserve">La terminología es inestable</w:t>
      </w:r>
      <w:r>
        <w:t xml:space="preserve">: el evento se llama</w:t>
      </w:r>
      <w:r>
        <w:t xml:space="preserve"> </w:t>
      </w:r>
      <w:r>
        <w:t xml:space="preserve">“</w:t>
      </w:r>
      <w:r>
        <w:t xml:space="preserve">Congress</w:t>
      </w:r>
      <w:r>
        <w:t xml:space="preserve">”</w:t>
      </w:r>
      <w:r>
        <w:t xml:space="preserve"> </w:t>
      </w:r>
      <w:r>
        <w:t xml:space="preserve">en unos sitios y</w:t>
      </w:r>
      <w:r>
        <w:t xml:space="preserve"> </w:t>
      </w:r>
      <w:r>
        <w:t xml:space="preserve">“</w:t>
      </w:r>
      <w:r>
        <w:t xml:space="preserve">Conference</w:t>
      </w:r>
      <w:r>
        <w:t xml:space="preserve">”</w:t>
      </w:r>
      <w:r>
        <w:t xml:space="preserve"> </w:t>
      </w:r>
      <w:r>
        <w:t xml:space="preserve">en otros; el botón</w:t>
      </w:r>
      <w:r>
        <w:t xml:space="preserve"> </w:t>
      </w:r>
      <w:r>
        <w:t xml:space="preserve">“</w:t>
      </w:r>
      <w:r>
        <w:t xml:space="preserve">Papers and Projects</w:t>
      </w:r>
      <w:r>
        <w:t xml:space="preserve">”</w:t>
      </w:r>
      <w:r>
        <w:t xml:space="preserve"> </w:t>
      </w:r>
      <w:r>
        <w:t xml:space="preserve">lleva a una página titulada</w:t>
      </w:r>
      <w:r>
        <w:t xml:space="preserve"> </w:t>
      </w:r>
      <w:r>
        <w:t xml:space="preserve">“</w:t>
      </w:r>
      <w:r>
        <w:t xml:space="preserve">Be a speaker</w:t>
      </w:r>
      <w:r>
        <w:t xml:space="preserve">”</w:t>
      </w:r>
      <w:r>
        <w:t xml:space="preserve"> </w:t>
      </w:r>
      <w:r>
        <w:t xml:space="preserve">que habla de pósters; las tarifas cambian de nombre entre la web y Helice.</w:t>
      </w:r>
    </w:p>
    <w:p>
      <w:pPr>
        <w:numPr>
          <w:ilvl w:val="0"/>
          <w:numId w:val="1001"/>
        </w:numPr>
      </w:pPr>
      <w:r>
        <w:rPr>
          <w:bCs/>
          <w:b/>
        </w:rPr>
        <w:t xml:space="preserve">La web compite consigo misma por la atención</w:t>
      </w:r>
      <w:r>
        <w:t xml:space="preserve">: dos popups distintos que interrumpen la navegación, dos botones destacados en la cabecera (</w:t>
      </w:r>
      <w:r>
        <w:t xml:space="preserve">“</w:t>
      </w:r>
      <w:r>
        <w:t xml:space="preserve">Papers and Projects</w:t>
      </w:r>
      <w:r>
        <w:t xml:space="preserve">”</w:t>
      </w:r>
      <w:r>
        <w:t xml:space="preserve"> </w:t>
      </w:r>
      <w:r>
        <w:t xml:space="preserve">y</w:t>
      </w:r>
      <w:r>
        <w:t xml:space="preserve"> </w:t>
      </w:r>
      <w:r>
        <w:t xml:space="preserve">“</w:t>
      </w:r>
      <w:r>
        <w:t xml:space="preserve">Tickets</w:t>
      </w:r>
      <w:r>
        <w:t xml:space="preserve">”</w:t>
      </w:r>
      <w:r>
        <w:t xml:space="preserve">) que pelean por el clic, y un menú con siete entradas más desplegables.</w:t>
      </w:r>
    </w:p>
    <w:p>
      <w:pPr>
        <w:pStyle w:val="FirstParagraph"/>
      </w:pPr>
      <w:r>
        <w:t xml:space="preserve">La buena noticia: la mayoría de los problemas son de comunicación y coordinación de contenidos, no de tecnología, y se pueden corregir en semanas. El informe los detalla con evidencias y propone un plan priorizado (sección 8).</w:t>
      </w:r>
    </w:p>
    <w:p>
      <w:r>
        <w:pict>
          <v:rect style="width:0;height:1.5pt" o:hralign="center" o:hrstd="t" o:hr="t"/>
        </w:pict>
      </w:r>
    </w:p>
    <w:bookmarkEnd w:id="20"/>
    <w:bookmarkStart w:id="21" w:name="X23087ddbcc934c5a7f95457535aed7740c3cb3f"/>
    <w:p>
      <w:pPr>
        <w:pStyle w:val="Heading2"/>
      </w:pPr>
      <w:r>
        <w:t xml:space="preserve">2. Primeras impresiones: dos popups que interrumpen antes de comunicar</w:t>
      </w:r>
    </w:p>
    <w:p>
      <w:pPr>
        <w:pStyle w:val="FirstParagraph"/>
      </w:pPr>
      <w:r>
        <w:rPr>
          <w:bCs/>
          <w:b/>
        </w:rPr>
        <w:t xml:space="preserve">Evidencia.</w:t>
      </w:r>
      <w:r>
        <w:t xml:space="preserve"> </w:t>
      </w:r>
      <w:r>
        <w:t xml:space="preserve">Nada más cargar la página de inicio aparece un popup de suscripción a la newsletter (</w:t>
      </w:r>
      <w:r>
        <w:t xml:space="preserve">“</w:t>
      </w:r>
      <w:r>
        <w:t xml:space="preserve">Don’t miss a thing</w:t>
      </w:r>
      <w:r>
        <w:t xml:space="preserve">”</w:t>
      </w:r>
      <w:r>
        <w:t xml:space="preserve">) que tapa el titular principal. En la página de registro aparece otro popup distinto (</w:t>
      </w:r>
      <w:r>
        <w:t xml:space="preserve">“</w:t>
      </w:r>
      <w:r>
        <w:t xml:space="preserve">Limited-time offer — Early bird pricing ends September 2026</w:t>
      </w:r>
      <w:r>
        <w:t xml:space="preserve">”</w:t>
      </w:r>
      <w:r>
        <w:t xml:space="preserve">) que tapa el contenido de la propia página.</w:t>
      </w:r>
    </w:p>
    <w:p>
      <w:pPr>
        <w:pStyle w:val="BodyText"/>
      </w:pPr>
      <w:r>
        <w:rPr>
          <w:bCs/>
          <w:b/>
        </w:rPr>
        <w:t xml:space="preserve">Por qué es un problema.</w:t>
      </w:r>
      <w:r>
        <w:t xml:space="preserve"> </w:t>
      </w:r>
      <w:r>
        <w:t xml:space="preserve">El primer contacto con el usuario es una interrupción, no un mensaje. El usuario aún no sabe qué es WGIC26 y ya se le pide el correo; el que quiere registrarse ya está en la página de registro, no necesita un popup que le diga que se registre. Además, los popups generan una doble fricción en el embudo más crítico. En dispositivos móviles, donde la pantalla es pequeña, el efecto es aún más bloqueante.</w:t>
      </w:r>
    </w:p>
    <w:p>
      <w:pPr>
        <w:pStyle w:val="BodyText"/>
      </w:pPr>
      <w:r>
        <w:rPr>
          <w:bCs/>
          <w:b/>
        </w:rPr>
        <w:t xml:space="preserve">Recomendación.</w:t>
      </w:r>
      <w:r>
        <w:t xml:space="preserve"> </w:t>
      </w:r>
      <w:r>
        <w:t xml:space="preserve">- Eliminar el popup de la página de registro (el usuario ya está donde querías llevarlo).</w:t>
      </w:r>
      <w:r>
        <w:t xml:space="preserve"> </w:t>
      </w:r>
      <w:r>
        <w:t xml:space="preserve">- Sustituir el popup de la home por una banda fija e integrada de suscripción en la propia página (ya existe un bloque</w:t>
      </w:r>
      <w:r>
        <w:t xml:space="preserve"> </w:t>
      </w:r>
      <w:r>
        <w:t xml:space="preserve">“</w:t>
      </w:r>
      <w:r>
        <w:t xml:space="preserve">Stay up to date</w:t>
      </w:r>
      <w:r>
        <w:t xml:space="preserve">”</w:t>
      </w:r>
      <w:r>
        <w:t xml:space="preserve"> </w:t>
      </w:r>
      <w:r>
        <w:t xml:space="preserve">al final), o como mínimo retrasarlo 45–60 segundos y mostrarlo una sola vez por usuario (cookie).</w:t>
      </w:r>
      <w:r>
        <w:t xml:space="preserve"> </w:t>
      </w:r>
      <w:r>
        <w:t xml:space="preserve">- Medir la tasa de cierre del popup actual: casi con seguridad el</w:t>
      </w:r>
      <w:r>
        <w:t xml:space="preserve"> </w:t>
      </w:r>
      <w:r>
        <w:t xml:space="preserve">“</w:t>
      </w:r>
      <w:r>
        <w:t xml:space="preserve">Maybe later</w:t>
      </w:r>
      <w:r>
        <w:t xml:space="preserve">”</w:t>
      </w:r>
      <w:r>
        <w:t xml:space="preserve"> </w:t>
      </w:r>
      <w:r>
        <w:t xml:space="preserve">supera con creces a la suscripción.</w:t>
      </w:r>
    </w:p>
    <w:p>
      <w:r>
        <w:pict>
          <v:rect style="width:0;height:1.5pt" o:hralign="center" o:hrstd="t" o:hr="t"/>
        </w:pict>
      </w:r>
    </w:p>
    <w:bookmarkEnd w:id="21"/>
    <w:bookmarkStart w:id="22" w:name="X10293aef9b584d8751e5e97ba333d262a33407c"/>
    <w:p>
      <w:pPr>
        <w:pStyle w:val="Heading2"/>
      </w:pPr>
      <w:r>
        <w:t xml:space="preserve">3. Arquitectura de la información y navegación</w:t>
      </w:r>
    </w:p>
    <w:p>
      <w:pPr>
        <w:pStyle w:val="FirstParagraph"/>
      </w:pPr>
      <w:r>
        <w:rPr>
          <w:bCs/>
          <w:b/>
        </w:rPr>
        <w:t xml:space="preserve">Evidencia.</w:t>
      </w:r>
      <w:r>
        <w:t xml:space="preserve"> </w:t>
      </w:r>
      <w:r>
        <w:t xml:space="preserve">La cabecera muestra: About +, Program +, Newsletters, Blog, Keynote Speakers, Partners &amp; Exhibitors +, Plan your stay, selector de idioma, y dos botones destacados:</w:t>
      </w:r>
      <w:r>
        <w:t xml:space="preserve"> </w:t>
      </w:r>
      <w:r>
        <w:t xml:space="preserve">“</w:t>
      </w:r>
      <w:r>
        <w:t xml:space="preserve">Papers and Projects</w:t>
      </w:r>
      <w:r>
        <w:t xml:space="preserve">”</w:t>
      </w:r>
      <w:r>
        <w:t xml:space="preserve"> </w:t>
      </w:r>
      <w:r>
        <w:t xml:space="preserve">(amarillo) y</w:t>
      </w:r>
      <w:r>
        <w:t xml:space="preserve"> </w:t>
      </w:r>
      <w:r>
        <w:t xml:space="preserve">“</w:t>
      </w:r>
      <w:r>
        <w:t xml:space="preserve">Tickets</w:t>
      </w:r>
      <w:r>
        <w:t xml:space="preserve">”</w:t>
      </w:r>
      <w:r>
        <w:t xml:space="preserve"> </w:t>
      </w:r>
      <w:r>
        <w:t xml:space="preserve">(verde). En el pie de página, los dos mismos botones vuelven a aparecer como</w:t>
      </w:r>
      <w:r>
        <w:t xml:space="preserve"> </w:t>
      </w:r>
      <w:r>
        <w:t xml:space="preserve">“</w:t>
      </w:r>
      <w:r>
        <w:t xml:space="preserve">Useful links</w:t>
      </w:r>
      <w:r>
        <w:t xml:space="preserve">”</w:t>
      </w:r>
      <w:r>
        <w:t xml:space="preserve">.</w:t>
      </w:r>
    </w:p>
    <w:p>
      <w:pPr>
        <w:pStyle w:val="BodyText"/>
      </w:pPr>
      <w:r>
        <w:rPr>
          <w:bCs/>
          <w:b/>
        </w:rPr>
        <w:t xml:space="preserve">Problemas detectados:</w:t>
      </w:r>
    </w:p>
    <w:p>
      <w:pPr>
        <w:numPr>
          <w:ilvl w:val="0"/>
          <w:numId w:val="1002"/>
        </w:numPr>
        <w:pStyle w:val="Compact"/>
      </w:pPr>
      <w:r>
        <w:rPr>
          <w:bCs/>
          <w:b/>
        </w:rPr>
        <w:t xml:space="preserve">Dos CTAs que compiten.</w:t>
      </w:r>
      <w:r>
        <w:t xml:space="preserve"> </w:t>
      </w:r>
      <w:r>
        <w:t xml:space="preserve">“</w:t>
      </w:r>
      <w:r>
        <w:t xml:space="preserve">Papers and Projects</w:t>
      </w:r>
      <w:r>
        <w:t xml:space="preserve">”</w:t>
      </w:r>
      <w:r>
        <w:t xml:space="preserve"> </w:t>
      </w:r>
      <w:r>
        <w:t xml:space="preserve">y</w:t>
      </w:r>
      <w:r>
        <w:t xml:space="preserve"> </w:t>
      </w:r>
      <w:r>
        <w:t xml:space="preserve">“</w:t>
      </w:r>
      <w:r>
        <w:t xml:space="preserve">Tickets</w:t>
      </w:r>
      <w:r>
        <w:t xml:space="preserve">”</w:t>
      </w:r>
      <w:r>
        <w:t xml:space="preserve"> </w:t>
      </w:r>
      <w:r>
        <w:t xml:space="preserve">tienen el mismo peso visual. Para el 95 % de los visitantes (asistentes potenciales), la acción relevante es una: registrarse. El CTA de autores debería ser secundario y vivir dentro del menú, no en la cabecera.</w:t>
      </w:r>
    </w:p>
    <w:p>
      <w:pPr>
        <w:numPr>
          <w:ilvl w:val="0"/>
          <w:numId w:val="1002"/>
        </w:numPr>
        <w:pStyle w:val="Compact"/>
      </w:pPr>
      <w:r>
        <w:rPr>
          <w:bCs/>
          <w:b/>
        </w:rPr>
        <w:t xml:space="preserve">Etiquetas que no anticipan el destino.</w:t>
      </w:r>
      <w:r>
        <w:t xml:space="preserve"> </w:t>
      </w:r>
      <w:r>
        <w:t xml:space="preserve">“</w:t>
      </w:r>
      <w:r>
        <w:t xml:space="preserve">Papers and Projects</w:t>
      </w:r>
      <w:r>
        <w:t xml:space="preserve">”</w:t>
      </w:r>
      <w:r>
        <w:t xml:space="preserve"> </w:t>
      </w:r>
      <w:r>
        <w:t xml:space="preserve">lleva a</w:t>
      </w:r>
      <w:r>
        <w:t xml:space="preserve"> </w:t>
      </w:r>
      <w:r>
        <w:rPr>
          <w:rStyle w:val="VerbatimChar"/>
        </w:rPr>
        <w:t xml:space="preserve">/speakers</w:t>
      </w:r>
      <w:r>
        <w:t xml:space="preserve">, una página titulada</w:t>
      </w:r>
      <w:r>
        <w:t xml:space="preserve"> </w:t>
      </w:r>
      <w:r>
        <w:t xml:space="preserve">“</w:t>
      </w:r>
      <w:r>
        <w:t xml:space="preserve">Be a speaker</w:t>
      </w:r>
      <w:r>
        <w:t xml:space="preserve">”</w:t>
      </w:r>
      <w:r>
        <w:t xml:space="preserve">. Tres nombres distintos para el mismo contenido generan desorientación (</w:t>
      </w:r>
      <w:r>
        <w:t xml:space="preserve">“</w:t>
      </w:r>
      <w:r>
        <w:t xml:space="preserve">¿estoy donde quería estar?</w:t>
      </w:r>
      <w:r>
        <w:t xml:space="preserve">”</w:t>
      </w:r>
      <w:r>
        <w:t xml:space="preserve">).</w:t>
      </w:r>
    </w:p>
    <w:p>
      <w:pPr>
        <w:numPr>
          <w:ilvl w:val="0"/>
          <w:numId w:val="1002"/>
        </w:numPr>
        <w:pStyle w:val="Compact"/>
      </w:pPr>
      <w:r>
        <w:rPr>
          <w:bCs/>
          <w:b/>
        </w:rPr>
        <w:t xml:space="preserve">“</w:t>
      </w:r>
      <w:r>
        <w:rPr>
          <w:bCs/>
          <w:b/>
        </w:rPr>
        <w:t xml:space="preserve">Keynote Speakers</w:t>
      </w:r>
      <w:r>
        <w:rPr>
          <w:bCs/>
          <w:b/>
        </w:rPr>
        <w:t xml:space="preserve">”</w:t>
      </w:r>
      <w:r>
        <w:rPr>
          <w:bCs/>
          <w:b/>
        </w:rPr>
        <w:t xml:space="preserve"> </w:t>
      </w:r>
      <w:r>
        <w:rPr>
          <w:bCs/>
          <w:b/>
        </w:rPr>
        <w:t xml:space="preserve">y</w:t>
      </w:r>
      <w:r>
        <w:rPr>
          <w:bCs/>
          <w:b/>
        </w:rPr>
        <w:t xml:space="preserve"> </w:t>
      </w:r>
      <w:r>
        <w:rPr>
          <w:bCs/>
          <w:b/>
        </w:rPr>
        <w:t xml:space="preserve">“</w:t>
      </w:r>
      <w:r>
        <w:rPr>
          <w:bCs/>
          <w:b/>
        </w:rPr>
        <w:t xml:space="preserve">Program</w:t>
      </w:r>
      <w:r>
        <w:rPr>
          <w:bCs/>
          <w:b/>
        </w:rPr>
        <w:t xml:space="preserve">”</w:t>
      </w:r>
      <w:r>
        <w:rPr>
          <w:bCs/>
          <w:b/>
        </w:rPr>
        <w:t xml:space="preserve"> </w:t>
      </w:r>
      <w:r>
        <w:rPr>
          <w:bCs/>
          <w:b/>
        </w:rPr>
        <w:t xml:space="preserve">se solapan.</w:t>
      </w:r>
      <w:r>
        <w:t xml:space="preserve"> </w:t>
      </w:r>
      <w:r>
        <w:t xml:space="preserve">Los keynotes forman parte del programa, pero tienen entrada propia en el menú principal mientras el programa detallado está en un desplegable. Esto rompe la lógica de agrupación.</w:t>
      </w:r>
    </w:p>
    <w:p>
      <w:pPr>
        <w:numPr>
          <w:ilvl w:val="0"/>
          <w:numId w:val="1002"/>
        </w:numPr>
        <w:pStyle w:val="Compact"/>
      </w:pPr>
      <w:r>
        <w:rPr>
          <w:bCs/>
          <w:b/>
        </w:rPr>
        <w:t xml:space="preserve">Dos ciudades, una sola historia mal contada.</w:t>
      </w:r>
      <w:r>
        <w:t xml:space="preserve"> </w:t>
      </w:r>
      <w:r>
        <w:t xml:space="preserve">El congreso ocurre en Barcelona (días 1–3) y Lleida (día 4), pero la home lo menciona casi de pasada (</w:t>
      </w:r>
      <w:r>
        <w:t xml:space="preserve">“</w:t>
      </w:r>
      <w:r>
        <w:t xml:space="preserve">Main activities</w:t>
      </w:r>
      <w:r>
        <w:t xml:space="preserve">”</w:t>
      </w:r>
      <w:r>
        <w:t xml:space="preserve"> </w:t>
      </w:r>
      <w:r>
        <w:t xml:space="preserve">en tarjetas pequeñas). Para un asistente internacional,</w:t>
      </w:r>
      <w:r>
        <w:t xml:space="preserve"> </w:t>
      </w:r>
      <w:r>
        <w:t xml:space="preserve">“</w:t>
      </w:r>
      <w:r>
        <w:t xml:space="preserve">Barcelona–Lleida</w:t>
      </w:r>
      <w:r>
        <w:t xml:space="preserve">”</w:t>
      </w:r>
      <w:r>
        <w:t xml:space="preserve"> </w:t>
      </w:r>
      <w:r>
        <w:t xml:space="preserve">plantea dudas logísticas inmediatas (¿dónde duermo? ¿cómo llego a Lleida el día 4?) que la web no responde de forma proactiva.</w:t>
      </w:r>
      <w:r>
        <w:t xml:space="preserve"> </w:t>
      </w:r>
      <w:r>
        <w:t xml:space="preserve">“</w:t>
      </w:r>
      <w:r>
        <w:t xml:space="preserve">Plan your stay</w:t>
      </w:r>
      <w:r>
        <w:t xml:space="preserve">”</w:t>
      </w:r>
      <w:r>
        <w:t xml:space="preserve"> </w:t>
      </w:r>
      <w:r>
        <w:t xml:space="preserve">solo cubre Barcelona.</w:t>
      </w:r>
    </w:p>
    <w:p>
      <w:pPr>
        <w:pStyle w:val="FirstParagraph"/>
      </w:pPr>
      <w:r>
        <w:rPr>
          <w:bCs/>
          <w:b/>
        </w:rPr>
        <w:t xml:space="preserve">Recomendación.</w:t>
      </w:r>
      <w:r>
        <w:t xml:space="preserve"> </w:t>
      </w:r>
      <w:r>
        <w:t xml:space="preserve">- Un solo CTA en cabecera:</w:t>
      </w:r>
      <w:r>
        <w:t xml:space="preserve"> </w:t>
      </w:r>
      <w:r>
        <w:rPr>
          <w:bCs/>
          <w:b/>
        </w:rPr>
        <w:t xml:space="preserve">“</w:t>
      </w:r>
      <w:r>
        <w:rPr>
          <w:bCs/>
          <w:b/>
        </w:rPr>
        <w:t xml:space="preserve">Register / Entradas</w:t>
      </w:r>
      <w:r>
        <w:rPr>
          <w:bCs/>
          <w:b/>
        </w:rPr>
        <w:t xml:space="preserve">”</w:t>
      </w:r>
      <w:r>
        <w:t xml:space="preserve">. El resto, al menú.</w:t>
      </w:r>
      <w:r>
        <w:t xml:space="preserve"> </w:t>
      </w:r>
      <w:r>
        <w:t xml:space="preserve">- Reestructurar el menú en 5 entradas:</w:t>
      </w:r>
      <w:r>
        <w:t xml:space="preserve"> </w:t>
      </w:r>
      <w:r>
        <w:rPr>
          <w:iCs/>
          <w:i/>
        </w:rPr>
        <w:t xml:space="preserve">Program (con keynotes dentro), Speakers &amp; Papers, Registration, Venue &amp; Stay (Barcelona + Lleida), Sponsors</w:t>
      </w:r>
      <w:r>
        <w:t xml:space="preserve">. Blog y Newsletters pueden unificarse en</w:t>
      </w:r>
      <w:r>
        <w:t xml:space="preserve"> </w:t>
      </w:r>
      <w:r>
        <w:t xml:space="preserve">“</w:t>
      </w:r>
      <w:r>
        <w:t xml:space="preserve">News</w:t>
      </w:r>
      <w:r>
        <w:t xml:space="preserve">”</w:t>
      </w:r>
      <w:r>
        <w:t xml:space="preserve">.</w:t>
      </w:r>
      <w:r>
        <w:t xml:space="preserve"> </w:t>
      </w:r>
      <w:r>
        <w:t xml:space="preserve">- Crear un bloque</w:t>
      </w:r>
      <w:r>
        <w:t xml:space="preserve"> </w:t>
      </w:r>
      <w:r>
        <w:t xml:space="preserve">“</w:t>
      </w:r>
      <w:r>
        <w:t xml:space="preserve">Two cities, one congress</w:t>
      </w:r>
      <w:r>
        <w:t xml:space="preserve">”</w:t>
      </w:r>
      <w:r>
        <w:t xml:space="preserve"> </w:t>
      </w:r>
      <w:r>
        <w:t xml:space="preserve">en la home que explique en 3 líneas qué pasa en cada ciudad y cómo se articula el transporte Barcelona–Lleida del día 4.</w:t>
      </w:r>
    </w:p>
    <w:p>
      <w:r>
        <w:pict>
          <v:rect style="width:0;height:1.5pt" o:hralign="center" o:hrstd="t" o:hr="t"/>
        </w:pict>
      </w:r>
    </w:p>
    <w:bookmarkEnd w:id="22"/>
    <w:bookmarkStart w:id="26" w:name="Xd6eb726471aa85fe3d5fa52c2991b555ec7ee6d"/>
    <w:p>
      <w:pPr>
        <w:pStyle w:val="Heading2"/>
      </w:pPr>
      <w:r>
        <w:t xml:space="preserve">4. El flujo de registro: el salto a Helice (análisis detallado)</w:t>
      </w:r>
    </w:p>
    <w:p>
      <w:pPr>
        <w:pStyle w:val="FirstParagraph"/>
      </w:pPr>
      <w:r>
        <w:t xml:space="preserve">Es el punto que más quejas genera, y la auditoría confirma que el flujo tiene</w:t>
      </w:r>
      <w:r>
        <w:t xml:space="preserve"> </w:t>
      </w:r>
      <w:r>
        <w:rPr>
          <w:bCs/>
          <w:b/>
        </w:rPr>
        <w:t xml:space="preserve">cinco fricciones encadenadas</w:t>
      </w:r>
      <w:r>
        <w:t xml:space="preserve">:</w:t>
      </w:r>
    </w:p>
    <w:bookmarkStart w:id="23" w:name="paso-a-paso-real-verificado-navegando"/>
    <w:p>
      <w:pPr>
        <w:pStyle w:val="Heading3"/>
      </w:pPr>
      <w:r>
        <w:t xml:space="preserve">Paso a paso real (verificado navegando)</w:t>
      </w:r>
    </w:p>
    <w:p>
      <w:pPr>
        <w:numPr>
          <w:ilvl w:val="0"/>
          <w:numId w:val="1003"/>
        </w:numPr>
        <w:pStyle w:val="Compact"/>
      </w:pPr>
      <w:r>
        <w:t xml:space="preserve">El usuario entra en</w:t>
      </w:r>
      <w:r>
        <w:t xml:space="preserve"> </w:t>
      </w:r>
      <w:r>
        <w:rPr>
          <w:rStyle w:val="VerbatimChar"/>
        </w:rPr>
        <w:t xml:space="preserve">/registration</w:t>
      </w:r>
      <w:r>
        <w:t xml:space="preserve"> </w:t>
      </w:r>
      <w:r>
        <w:t xml:space="preserve">y un</w:t>
      </w:r>
      <w:r>
        <w:t xml:space="preserve"> </w:t>
      </w:r>
      <w:r>
        <w:rPr>
          <w:bCs/>
          <w:b/>
        </w:rPr>
        <w:t xml:space="preserve">popup</w:t>
      </w:r>
      <w:r>
        <w:t xml:space="preserve"> </w:t>
      </w:r>
      <w:r>
        <w:t xml:space="preserve">tapa la página.</w:t>
      </w:r>
    </w:p>
    <w:p>
      <w:pPr>
        <w:numPr>
          <w:ilvl w:val="0"/>
          <w:numId w:val="1003"/>
        </w:numPr>
        <w:pStyle w:val="Compact"/>
      </w:pPr>
      <w:r>
        <w:t xml:space="preserve">Tras cerrarlo, encuentra una cuenta atrás y un bloque</w:t>
      </w:r>
      <w:r>
        <w:t xml:space="preserve"> </w:t>
      </w:r>
      <w:r>
        <w:t xml:space="preserve">“</w:t>
      </w:r>
      <w:r>
        <w:t xml:space="preserve">Registration process</w:t>
      </w:r>
      <w:r>
        <w:t xml:space="preserve">”</w:t>
      </w:r>
      <w:r>
        <w:t xml:space="preserve"> </w:t>
      </w:r>
      <w:r>
        <w:t xml:space="preserve">en 3 pasos.</w:t>
      </w:r>
    </w:p>
    <w:p>
      <w:pPr>
        <w:numPr>
          <w:ilvl w:val="0"/>
          <w:numId w:val="1003"/>
        </w:numPr>
        <w:pStyle w:val="Compact"/>
      </w:pPr>
      <w:r>
        <w:t xml:space="preserve">Debe leer un</w:t>
      </w:r>
      <w:r>
        <w:t xml:space="preserve"> </w:t>
      </w:r>
      <w:r>
        <w:rPr>
          <w:bCs/>
          <w:b/>
        </w:rPr>
        <w:t xml:space="preserve">texto legal extenso</w:t>
      </w:r>
      <w:r>
        <w:t xml:space="preserve"> </w:t>
      </w:r>
      <w:r>
        <w:t xml:space="preserve">(dos párrafos de RGPD en cuerpo pequeño, en inglés jurídico).</w:t>
      </w:r>
    </w:p>
    <w:p>
      <w:pPr>
        <w:numPr>
          <w:ilvl w:val="0"/>
          <w:numId w:val="1003"/>
        </w:numPr>
        <w:pStyle w:val="Compact"/>
      </w:pPr>
      <w:r>
        <w:t xml:space="preserve">Debe activar un</w:t>
      </w:r>
      <w:r>
        <w:t xml:space="preserve"> </w:t>
      </w:r>
      <w:r>
        <w:rPr>
          <w:bCs/>
          <w:b/>
        </w:rPr>
        <w:t xml:space="preserve">interruptor (toggle) obligatorio</w:t>
      </w:r>
      <w:r>
        <w:t xml:space="preserve"> </w:t>
      </w:r>
      <w:r>
        <w:t xml:space="preserve">de aceptación de la política de privacidad, de tamaño pequeño y bajo contraste.</w:t>
      </w:r>
    </w:p>
    <w:p>
      <w:pPr>
        <w:numPr>
          <w:ilvl w:val="0"/>
          <w:numId w:val="1003"/>
        </w:numPr>
        <w:pStyle w:val="Compact"/>
      </w:pPr>
      <w:r>
        <w:t xml:space="preserve">Solo entonces el botón</w:t>
      </w:r>
      <w:r>
        <w:t xml:space="preserve"> </w:t>
      </w:r>
      <w:r>
        <w:rPr>
          <w:bCs/>
          <w:b/>
        </w:rPr>
        <w:t xml:space="preserve">“</w:t>
      </w:r>
      <w:r>
        <w:rPr>
          <w:bCs/>
          <w:b/>
        </w:rPr>
        <w:t xml:space="preserve">Continue to Helice registration form</w:t>
      </w:r>
      <w:r>
        <w:rPr>
          <w:bCs/>
          <w:b/>
        </w:rPr>
        <w:t xml:space="preserve">”</w:t>
      </w:r>
      <w:r>
        <w:t xml:space="preserve"> </w:t>
      </w:r>
      <w:r>
        <w:t xml:space="preserve">pasa de gris apagado (parece deshabilitado) a verde activo.</w:t>
      </w:r>
    </w:p>
    <w:bookmarkEnd w:id="23"/>
    <w:bookmarkStart w:id="24" w:name="problemas-específicos"/>
    <w:p>
      <w:pPr>
        <w:pStyle w:val="Heading3"/>
      </w:pPr>
      <w:r>
        <w:t xml:space="preserve">Problemas específicos</w:t>
      </w:r>
    </w:p>
    <w:p>
      <w:pPr>
        <w:numPr>
          <w:ilvl w:val="0"/>
          <w:numId w:val="1004"/>
        </w:numPr>
        <w:pStyle w:val="Compact"/>
      </w:pPr>
      <w:r>
        <w:rPr>
          <w:bCs/>
          <w:b/>
        </w:rPr>
        <w:t xml:space="preserve">El botón principal parece roto.</w:t>
      </w:r>
      <w:r>
        <w:t xml:space="preserve"> </w:t>
      </w:r>
      <w:r>
        <w:t xml:space="preserve">Hasta activar el toggle, el botón se muestra en gris casi invisible con el cursor de</w:t>
      </w:r>
      <w:r>
        <w:t xml:space="preserve"> </w:t>
      </w:r>
      <w:r>
        <w:t xml:space="preserve">“</w:t>
      </w:r>
      <w:r>
        <w:t xml:space="preserve">no permitido</w:t>
      </w:r>
      <w:r>
        <w:t xml:space="preserve">”</w:t>
      </w:r>
      <w:r>
        <w:t xml:space="preserve">. Un usuario típico interpreta que el registro está cerrado o que la página no funciona, y abandona. Este es, con alta probabilidad, el origen directo del comentario</w:t>
      </w:r>
      <w:r>
        <w:t xml:space="preserve"> </w:t>
      </w:r>
      <w:r>
        <w:t xml:space="preserve">“</w:t>
      </w:r>
      <w:r>
        <w:t xml:space="preserve">es difícil el paso al otro sitio para registrarse</w:t>
      </w:r>
      <w:r>
        <w:t xml:space="preserve">”</w:t>
      </w:r>
      <w:r>
        <w:t xml:space="preserve">.</w:t>
      </w:r>
    </w:p>
    <w:p>
      <w:pPr>
        <w:numPr>
          <w:ilvl w:val="0"/>
          <w:numId w:val="1004"/>
        </w:numPr>
        <w:pStyle w:val="Compact"/>
      </w:pPr>
      <w:r>
        <w:rPr>
          <w:bCs/>
          <w:b/>
        </w:rPr>
        <w:t xml:space="preserve">Nadie explica qué es Helice.</w:t>
      </w:r>
      <w:r>
        <w:t xml:space="preserve"> </w:t>
      </w:r>
      <w:r>
        <w:t xml:space="preserve">El usuario abandona su web de confianza hacia</w:t>
      </w:r>
      <w:r>
        <w:t xml:space="preserve"> </w:t>
      </w:r>
      <w:r>
        <w:rPr>
          <w:rStyle w:val="VerbatimChar"/>
        </w:rPr>
        <w:t xml:space="preserve">panel.helice.app</w:t>
      </w:r>
      <w:r>
        <w:t xml:space="preserve">, un dominio desconocido. No hay ningún mensaje de transición tipo</w:t>
      </w:r>
      <w:r>
        <w:t xml:space="preserve"> </w:t>
      </w:r>
      <w:r>
        <w:t xml:space="preserve">“</w:t>
      </w:r>
      <w:r>
        <w:t xml:space="preserve">serás redirigido a nuestra plataforma segura de inscripción</w:t>
      </w:r>
      <w:r>
        <w:t xml:space="preserve">”</w:t>
      </w:r>
      <w:r>
        <w:t xml:space="preserve">.</w:t>
      </w:r>
    </w:p>
    <w:p>
      <w:pPr>
        <w:numPr>
          <w:ilvl w:val="0"/>
          <w:numId w:val="1004"/>
        </w:numPr>
        <w:pStyle w:val="Compact"/>
      </w:pPr>
      <w:r>
        <w:rPr>
          <w:bCs/>
          <w:b/>
        </w:rPr>
        <w:t xml:space="preserve">Ruptura visual total.</w:t>
      </w:r>
      <w:r>
        <w:t xml:space="preserve"> </w:t>
      </w:r>
      <w:r>
        <w:t xml:space="preserve">La web del congreso es verde oscuro, elegante y con marca propia; Helice es una pantalla blanca y genérica sin logotipo de WGIC26. El contraste genera desconfianza justo en el momento de pagar.</w:t>
      </w:r>
    </w:p>
    <w:p>
      <w:pPr>
        <w:numPr>
          <w:ilvl w:val="0"/>
          <w:numId w:val="1004"/>
        </w:numPr>
        <w:pStyle w:val="Compact"/>
      </w:pPr>
      <w:r>
        <w:rPr>
          <w:bCs/>
          <w:b/>
        </w:rPr>
        <w:t xml:space="preserve">La URL de destino lleva el parámetro</w:t>
      </w:r>
      <w:r>
        <w:rPr>
          <w:bCs/>
          <w:b/>
        </w:rPr>
        <w:t xml:space="preserve"> </w:t>
      </w:r>
      <w:r>
        <w:rPr>
          <w:rStyle w:val="VerbatimChar"/>
          <w:bCs/>
          <w:b/>
        </w:rPr>
        <w:t xml:space="preserve">?preview=1</w:t>
      </w:r>
      <w:r>
        <w:rPr>
          <w:bCs/>
          <w:b/>
        </w:rPr>
        <w:t xml:space="preserve">.</w:t>
      </w:r>
      <w:r>
        <w:t xml:space="preserve"> </w:t>
      </w:r>
      <w:r>
        <w:t xml:space="preserve">Esto sugiere que el formulario enlazado es una versión de vista previa, no la definitiva. Debe verificarse de inmediato: si el enlace público apunta a un borrador, el problema no es de comunicación sino de operación.</w:t>
      </w:r>
    </w:p>
    <w:p>
      <w:pPr>
        <w:numPr>
          <w:ilvl w:val="0"/>
          <w:numId w:val="1004"/>
        </w:numPr>
        <w:pStyle w:val="Compact"/>
      </w:pPr>
      <w:r>
        <w:rPr>
          <w:bCs/>
          <w:b/>
        </w:rPr>
        <w:t xml:space="preserve">Inconsistencia de nombres de tarifa entre las dos webs:</w:t>
      </w:r>
    </w:p>
    <w:p>
      <w:pPr>
        <w:numPr>
          <w:ilvl w:val="1"/>
          <w:numId w:val="1005"/>
        </w:numPr>
        <w:pStyle w:val="Compact"/>
      </w:pPr>
      <w:r>
        <w:t xml:space="preserve">“</w:t>
      </w:r>
      <w:r>
        <w:t xml:space="preserve">2-day registration</w:t>
      </w:r>
      <w:r>
        <w:t xml:space="preserve">”</w:t>
      </w:r>
      <w:r>
        <w:t xml:space="preserve"> </w:t>
      </w:r>
      <w:r>
        <w:t xml:space="preserve">→ en Helice:</w:t>
      </w:r>
      <w:r>
        <w:t xml:space="preserve"> </w:t>
      </w:r>
      <w:r>
        <w:t xml:space="preserve">“</w:t>
      </w:r>
      <w:r>
        <w:t xml:space="preserve">Registration 2 days (Attendants)</w:t>
      </w:r>
      <w:r>
        <w:t xml:space="preserve">”</w:t>
      </w:r>
    </w:p>
    <w:p>
      <w:pPr>
        <w:numPr>
          <w:ilvl w:val="1"/>
          <w:numId w:val="1005"/>
        </w:numPr>
        <w:pStyle w:val="Compact"/>
      </w:pPr>
      <w:r>
        <w:t xml:space="preserve">“</w:t>
      </w:r>
      <w:r>
        <w:t xml:space="preserve">1-day registration</w:t>
      </w:r>
      <w:r>
        <w:t xml:space="preserve">”</w:t>
      </w:r>
      <w:r>
        <w:t xml:space="preserve"> </w:t>
      </w:r>
      <w:r>
        <w:t xml:space="preserve">→</w:t>
      </w:r>
      <w:r>
        <w:t xml:space="preserve"> </w:t>
      </w:r>
      <w:r>
        <w:t xml:space="preserve">“</w:t>
      </w:r>
      <w:r>
        <w:t xml:space="preserve">Register one day</w:t>
      </w:r>
      <w:r>
        <w:t xml:space="preserve">”</w:t>
      </w:r>
    </w:p>
    <w:p>
      <w:pPr>
        <w:numPr>
          <w:ilvl w:val="1"/>
          <w:numId w:val="1005"/>
        </w:numPr>
        <w:pStyle w:val="Compact"/>
      </w:pPr>
      <w:r>
        <w:t xml:space="preserve">“</w:t>
      </w:r>
      <w:r>
        <w:t xml:space="preserve">Oral presentations</w:t>
      </w:r>
      <w:r>
        <w:t xml:space="preserve">”</w:t>
      </w:r>
      <w:r>
        <w:t xml:space="preserve"> </w:t>
      </w:r>
      <w:r>
        <w:t xml:space="preserve">→</w:t>
      </w:r>
      <w:r>
        <w:t xml:space="preserve"> </w:t>
      </w:r>
      <w:r>
        <w:t xml:space="preserve">“</w:t>
      </w:r>
      <w:r>
        <w:t xml:space="preserve">Authors (Oral presentations)</w:t>
      </w:r>
      <w:r>
        <w:t xml:space="preserve">”</w:t>
      </w:r>
    </w:p>
    <w:p>
      <w:pPr>
        <w:numPr>
          <w:ilvl w:val="1"/>
          <w:numId w:val="1005"/>
        </w:numPr>
        <w:pStyle w:val="Compact"/>
      </w:pPr>
      <w:r>
        <w:t xml:space="preserve">“</w:t>
      </w:r>
      <w:r>
        <w:t xml:space="preserve">On-site (+30%)</w:t>
      </w:r>
      <w:r>
        <w:t xml:space="preserve">”</w:t>
      </w:r>
      <w:r>
        <w:t xml:space="preserve"> </w:t>
      </w:r>
      <w:r>
        <w:t xml:space="preserve">→</w:t>
      </w:r>
      <w:r>
        <w:t xml:space="preserve"> </w:t>
      </w:r>
      <w:r>
        <w:t xml:space="preserve">“</w:t>
      </w:r>
      <w:r>
        <w:t xml:space="preserve">In situ</w:t>
      </w:r>
      <w:r>
        <w:t xml:space="preserve">”</w:t>
      </w:r>
      <w:r>
        <w:t xml:space="preserve"> </w:t>
      </w:r>
      <w:r>
        <w:t xml:space="preserve">El usuario que ya eligió su tarifa en la web no la reconoce en la plataforma.</w:t>
      </w:r>
    </w:p>
    <w:p>
      <w:pPr>
        <w:numPr>
          <w:ilvl w:val="0"/>
          <w:numId w:val="1004"/>
        </w:numPr>
        <w:pStyle w:val="Compact"/>
      </w:pPr>
      <w:r>
        <w:rPr>
          <w:bCs/>
          <w:b/>
        </w:rPr>
        <w:t xml:space="preserve">Información de pago dispersa.</w:t>
      </w:r>
      <w:r>
        <w:t xml:space="preserve"> </w:t>
      </w:r>
      <w:r>
        <w:t xml:space="preserve">La factura se pide por email (wgic2026.economics@udl.cat), dato que solo aparece al final de Helice; las FAQ sobre cancelación/reembolso están en la web pero sus respuestas no acompañan al momento de pago.</w:t>
      </w:r>
    </w:p>
    <w:bookmarkEnd w:id="24"/>
    <w:bookmarkStart w:id="25" w:name="recomendaciones"/>
    <w:p>
      <w:pPr>
        <w:pStyle w:val="Heading3"/>
      </w:pPr>
      <w:r>
        <w:t xml:space="preserve">Recomendaciones</w:t>
      </w:r>
    </w:p>
    <w:p>
      <w:pPr>
        <w:numPr>
          <w:ilvl w:val="0"/>
          <w:numId w:val="1006"/>
        </w:numPr>
        <w:pStyle w:val="Compact"/>
      </w:pPr>
      <w:r>
        <w:rPr>
          <w:bCs/>
          <w:b/>
        </w:rPr>
        <w:t xml:space="preserve">Invertir la lógica del botón:</w:t>
      </w:r>
      <w:r>
        <w:t xml:space="preserve"> </w:t>
      </w:r>
      <w:r>
        <w:t xml:space="preserve">mostrar el botón de Helice siempre activo y visible, y validar la aceptación de privacidad al hacer clic (mensaje inline:</w:t>
      </w:r>
      <w:r>
        <w:t xml:space="preserve"> </w:t>
      </w:r>
      <w:r>
        <w:t xml:space="preserve">“</w:t>
      </w:r>
      <w:r>
        <w:t xml:space="preserve">Debes aceptar la política de privacidad para continuar</w:t>
      </w:r>
      <w:r>
        <w:t xml:space="preserve">”</w:t>
      </w:r>
      <w:r>
        <w:t xml:space="preserve">), en lugar de apagar el botón.</w:t>
      </w:r>
    </w:p>
    <w:p>
      <w:pPr>
        <w:numPr>
          <w:ilvl w:val="0"/>
          <w:numId w:val="1006"/>
        </w:numPr>
        <w:pStyle w:val="Compact"/>
      </w:pPr>
      <w:r>
        <w:rPr>
          <w:bCs/>
          <w:b/>
        </w:rPr>
        <w:t xml:space="preserve">Añadir una capa de transición:</w:t>
      </w:r>
      <w:r>
        <w:t xml:space="preserve"> </w:t>
      </w:r>
      <w:r>
        <w:t xml:space="preserve">un paso intermedio o un texto junto al botón —</w:t>
      </w:r>
      <w:r>
        <w:t xml:space="preserve">“</w:t>
      </w:r>
      <w:r>
        <w:t xml:space="preserve">WGIC26 gestiona las inscripciones a través de Helice, plataforma segura de la Universitat de Lleida. Se abrirá en una pestaña nueva</w:t>
      </w:r>
      <w:r>
        <w:t xml:space="preserve">”</w:t>
      </w:r>
      <w:r>
        <w:t xml:space="preserve">— y personalizar Helice con el logo y los colores del congreso.</w:t>
      </w:r>
    </w:p>
    <w:p>
      <w:pPr>
        <w:numPr>
          <w:ilvl w:val="0"/>
          <w:numId w:val="1006"/>
        </w:numPr>
        <w:pStyle w:val="Compact"/>
      </w:pPr>
      <w:r>
        <w:rPr>
          <w:bCs/>
          <w:b/>
        </w:rPr>
        <w:t xml:space="preserve">Unificar el naming de tarifas</w:t>
      </w:r>
      <w:r>
        <w:t xml:space="preserve"> </w:t>
      </w:r>
      <w:r>
        <w:t xml:space="preserve">en ambas plataformas, literalmente con el mismo texto.</w:t>
      </w:r>
    </w:p>
    <w:p>
      <w:pPr>
        <w:numPr>
          <w:ilvl w:val="0"/>
          <w:numId w:val="1006"/>
        </w:numPr>
        <w:pStyle w:val="Compact"/>
      </w:pPr>
      <w:r>
        <w:rPr>
          <w:bCs/>
          <w:b/>
        </w:rPr>
        <w:t xml:space="preserve">Eliminar el parámetro</w:t>
      </w:r>
      <w:r>
        <w:rPr>
          <w:bCs/>
          <w:b/>
        </w:rPr>
        <w:t xml:space="preserve"> </w:t>
      </w:r>
      <w:r>
        <w:rPr>
          <w:rStyle w:val="VerbatimChar"/>
          <w:bCs/>
          <w:b/>
        </w:rPr>
        <w:t xml:space="preserve">?preview=1</w:t>
      </w:r>
      <w:r>
        <w:t xml:space="preserve"> </w:t>
      </w:r>
      <w:r>
        <w:t xml:space="preserve">del enlace de producción y verificar que el formulario publicado es el definitivo.</w:t>
      </w:r>
    </w:p>
    <w:p>
      <w:pPr>
        <w:numPr>
          <w:ilvl w:val="0"/>
          <w:numId w:val="1006"/>
        </w:numPr>
        <w:pStyle w:val="Compact"/>
      </w:pPr>
      <w:r>
        <w:rPr>
          <w:bCs/>
          <w:b/>
        </w:rPr>
        <w:t xml:space="preserve">Reordenar la página:</w:t>
      </w:r>
      <w:r>
        <w:t xml:space="preserve"> </w:t>
      </w:r>
      <w:r>
        <w:t xml:space="preserve">tarifas primero (es lo que el usuario viene a ver), proceso después, y el texto legal resumido en dos líneas con enlace al detalle, no como muro de texto previo al botón.</w:t>
      </w:r>
    </w:p>
    <w:p>
      <w:r>
        <w:pict>
          <v:rect style="width:0;height:1.5pt" o:hralign="center" o:hrstd="t" o:hr="t"/>
        </w:pict>
      </w:r>
    </w:p>
    <w:bookmarkEnd w:id="25"/>
    <w:bookmarkEnd w:id="26"/>
    <w:bookmarkStart w:id="27" w:name="X357eafdc58723decc62ef3983e9c768eb20fe42"/>
    <w:p>
      <w:pPr>
        <w:pStyle w:val="Heading2"/>
      </w:pPr>
      <w:r>
        <w:t xml:space="preserve">5. Fechas y plazos: el capítulo más urgente de corregir</w:t>
      </w:r>
    </w:p>
    <w:p>
      <w:pPr>
        <w:pStyle w:val="FirstParagraph"/>
      </w:pPr>
      <w:r>
        <w:t xml:space="preserve">La web ofrece información contradictoria sobre plazos. Detectado a fecha de la auditoría (29 de julio de 2026):</w:t>
      </w:r>
    </w:p>
    <w:p>
      <w:pPr>
        <w:numPr>
          <w:ilvl w:val="0"/>
          <w:numId w:val="1007"/>
        </w:numPr>
        <w:pStyle w:val="Compact"/>
      </w:pPr>
      <w:r>
        <w:rPr>
          <w:bCs/>
          <w:b/>
        </w:rPr>
        <w:t xml:space="preserve">“</w:t>
      </w:r>
      <w:r>
        <w:rPr>
          <w:bCs/>
          <w:b/>
        </w:rPr>
        <w:t xml:space="preserve">Early bird ends September 2026</w:t>
      </w:r>
      <w:r>
        <w:rPr>
          <w:bCs/>
          <w:b/>
        </w:rPr>
        <w:t xml:space="preserve">”</w:t>
      </w:r>
      <w:r>
        <w:t xml:space="preserve"> </w:t>
      </w:r>
      <w:r>
        <w:t xml:space="preserve">(web) vs. </w:t>
      </w:r>
      <w:r>
        <w:t xml:space="preserve">“</w:t>
      </w:r>
      <w:r>
        <w:t xml:space="preserve">Early Bird (&lt; 30 Sep 2026)</w:t>
      </w:r>
      <w:r>
        <w:t xml:space="preserve">”</w:t>
      </w:r>
      <w:r>
        <w:t xml:space="preserve"> </w:t>
      </w:r>
      <w:r>
        <w:t xml:space="preserve">(Helice). Falta el día exacto en la web; la ambigüedad reduce la urgencia y genera dudas.</w:t>
      </w:r>
    </w:p>
    <w:p>
      <w:pPr>
        <w:numPr>
          <w:ilvl w:val="0"/>
          <w:numId w:val="1007"/>
        </w:numPr>
        <w:pStyle w:val="Compact"/>
      </w:pPr>
      <w:r>
        <w:rPr>
          <w:bCs/>
          <w:b/>
        </w:rPr>
        <w:t xml:space="preserve">Convocatoria de papers aparentemente cerrada pero presentada como abierta.</w:t>
      </w:r>
      <w:r>
        <w:t xml:space="preserve"> </w:t>
      </w:r>
      <w:r>
        <w:t xml:space="preserve">La página</w:t>
      </w:r>
      <w:r>
        <w:t xml:space="preserve"> </w:t>
      </w:r>
      <w:r>
        <w:t xml:space="preserve">“</w:t>
      </w:r>
      <w:r>
        <w:t xml:space="preserve">Be a speaker</w:t>
      </w:r>
      <w:r>
        <w:t xml:space="preserve">”</w:t>
      </w:r>
      <w:r>
        <w:t xml:space="preserve"> </w:t>
      </w:r>
      <w:r>
        <w:t xml:space="preserve">indica</w:t>
      </w:r>
      <w:r>
        <w:t xml:space="preserve"> </w:t>
      </w:r>
      <w:r>
        <w:t xml:space="preserve">“</w:t>
      </w:r>
      <w:r>
        <w:t xml:space="preserve">Abstract submission period: December 15, 2025 – May 31, 2026</w:t>
      </w:r>
      <w:r>
        <w:t xml:space="preserve">”</w:t>
      </w:r>
      <w:r>
        <w:t xml:space="preserve"> </w:t>
      </w:r>
      <w:r>
        <w:t xml:space="preserve">(vencido hace dos meses) y, a la vez,</w:t>
      </w:r>
      <w:r>
        <w:t xml:space="preserve"> </w:t>
      </w:r>
      <w:r>
        <w:t xml:space="preserve">“</w:t>
      </w:r>
      <w:r>
        <w:t xml:space="preserve">Submit your poster before September 30, 2026</w:t>
      </w:r>
      <w:r>
        <w:t xml:space="preserve">”</w:t>
      </w:r>
      <w:r>
        <w:t xml:space="preserve">. El paso 5 de las instrucciones dice</w:t>
      </w:r>
      <w:r>
        <w:t xml:space="preserve"> </w:t>
      </w:r>
      <w:r>
        <w:t xml:space="preserve">“</w:t>
      </w:r>
      <w:r>
        <w:t xml:space="preserve">Submit your paper … before May 31, 2026</w:t>
      </w:r>
      <w:r>
        <w:t xml:space="preserve">”</w:t>
      </w:r>
      <w:r>
        <w:t xml:space="preserve">, plazo también vencido. Un lector no puede saber si aún puede participar.</w:t>
      </w:r>
    </w:p>
    <w:p>
      <w:pPr>
        <w:numPr>
          <w:ilvl w:val="0"/>
          <w:numId w:val="1007"/>
        </w:numPr>
        <w:pStyle w:val="Compact"/>
      </w:pPr>
      <w:r>
        <w:rPr>
          <w:bCs/>
          <w:b/>
        </w:rPr>
        <w:t xml:space="preserve">Cronología internamente imposible:</w:t>
      </w:r>
      <w:r>
        <w:t xml:space="preserve"> </w:t>
      </w:r>
      <w:r>
        <w:t xml:space="preserve">“</w:t>
      </w:r>
      <w:r>
        <w:t xml:space="preserve">Final program: July 31, 2026</w:t>
      </w:r>
      <w:r>
        <w:t xml:space="preserve">”</w:t>
      </w:r>
      <w:r>
        <w:t xml:space="preserve"> </w:t>
      </w:r>
      <w:r>
        <w:t xml:space="preserve">figura antes de</w:t>
      </w:r>
      <w:r>
        <w:t xml:space="preserve"> </w:t>
      </w:r>
      <w:r>
        <w:t xml:space="preserve">“</w:t>
      </w:r>
      <w:r>
        <w:t xml:space="preserve">Final paper submission: before August 31, 2026</w:t>
      </w:r>
      <w:r>
        <w:t xml:space="preserve">”</w:t>
      </w:r>
      <w:r>
        <w:t xml:space="preserve">. El programa final no puede existir un mes antes de la entrega final.</w:t>
      </w:r>
    </w:p>
    <w:p>
      <w:pPr>
        <w:numPr>
          <w:ilvl w:val="0"/>
          <w:numId w:val="1007"/>
        </w:numPr>
        <w:pStyle w:val="Compact"/>
      </w:pPr>
      <w:r>
        <w:rPr>
          <w:bCs/>
          <w:b/>
        </w:rPr>
        <w:t xml:space="preserve">Notificación de aceptación antes del cierre de envíos:</w:t>
      </w:r>
      <w:r>
        <w:t xml:space="preserve"> </w:t>
      </w:r>
      <w:r>
        <w:t xml:space="preserve">“</w:t>
      </w:r>
      <w:r>
        <w:t xml:space="preserve">Acceptance notification before May 15, 2026</w:t>
      </w:r>
      <w:r>
        <w:t xml:space="preserve">”</w:t>
      </w:r>
      <w:r>
        <w:t xml:space="preserve"> </w:t>
      </w:r>
      <w:r>
        <w:t xml:space="preserve">cuando el periodo de envío termina el 31 de mayo.</w:t>
      </w:r>
    </w:p>
    <w:p>
      <w:pPr>
        <w:numPr>
          <w:ilvl w:val="0"/>
          <w:numId w:val="1007"/>
        </w:numPr>
        <w:pStyle w:val="Compact"/>
      </w:pPr>
      <w:r>
        <w:rPr>
          <w:bCs/>
          <w:b/>
        </w:rPr>
        <w:t xml:space="preserve">El blog confirma la confusión:</w:t>
      </w:r>
      <w:r>
        <w:t xml:space="preserve"> </w:t>
      </w:r>
      <w:r>
        <w:t xml:space="preserve">“</w:t>
      </w:r>
      <w:r>
        <w:t xml:space="preserve">Call for Papers &amp; Projects Deadline Extended to 31 May 2026</w:t>
      </w:r>
      <w:r>
        <w:t xml:space="preserve">”</w:t>
      </w:r>
      <w:r>
        <w:t xml:space="preserve"> </w:t>
      </w:r>
      <w:r>
        <w:t xml:space="preserve">(7 de mayo) es la última noticia sobre plazos; no hay ninguna actualización posterior que explique qué sigue abierto (pósters) y qué no (papers/orales).</w:t>
      </w:r>
    </w:p>
    <w:p>
      <w:pPr>
        <w:numPr>
          <w:ilvl w:val="0"/>
          <w:numId w:val="1007"/>
        </w:numPr>
        <w:pStyle w:val="Compact"/>
      </w:pPr>
      <w:r>
        <w:rPr>
          <w:bCs/>
          <w:b/>
        </w:rPr>
        <w:t xml:space="preserve">Formato de póster contradictorio:</w:t>
      </w:r>
      <w:r>
        <w:t xml:space="preserve"> </w:t>
      </w:r>
      <w:r>
        <w:t xml:space="preserve">la página de speakers exige</w:t>
      </w:r>
      <w:r>
        <w:t xml:space="preserve"> </w:t>
      </w:r>
      <w:r>
        <w:t xml:space="preserve">“</w:t>
      </w:r>
      <w:r>
        <w:t xml:space="preserve">A0 (841 × 1189 mm)</w:t>
      </w:r>
      <w:r>
        <w:t xml:space="preserve">”</w:t>
      </w:r>
      <w:r>
        <w:t xml:space="preserve"> </w:t>
      </w:r>
      <w:r>
        <w:t xml:space="preserve">y la página de tarifas cobra</w:t>
      </w:r>
      <w:r>
        <w:t xml:space="preserve"> </w:t>
      </w:r>
      <w:r>
        <w:t xml:space="preserve">“</w:t>
      </w:r>
      <w:r>
        <w:t xml:space="preserve">Poster (A1)</w:t>
      </w:r>
      <w:r>
        <w:t xml:space="preserve">”</w:t>
      </w:r>
      <w:r>
        <w:t xml:space="preserve">.</w:t>
      </w:r>
    </w:p>
    <w:p>
      <w:pPr>
        <w:pStyle w:val="FirstParagraph"/>
      </w:pPr>
      <w:r>
        <w:rPr>
          <w:bCs/>
          <w:b/>
        </w:rPr>
        <w:t xml:space="preserve">Recomendación.</w:t>
      </w:r>
      <w:r>
        <w:t xml:space="preserve"> </w:t>
      </w:r>
      <w:r>
        <w:t xml:space="preserve">Crear una única</w:t>
      </w:r>
      <w:r>
        <w:t xml:space="preserve"> </w:t>
      </w:r>
      <w:r>
        <w:rPr>
          <w:bCs/>
          <w:b/>
        </w:rPr>
        <w:t xml:space="preserve">página/tabla maestra de fechas</w:t>
      </w:r>
      <w:r>
        <w:t xml:space="preserve"> </w:t>
      </w:r>
      <w:r>
        <w:t xml:space="preserve">(</w:t>
      </w:r>
      <w:r>
        <w:t xml:space="preserve">“</w:t>
      </w:r>
      <w:r>
        <w:t xml:space="preserve">Key dates</w:t>
      </w:r>
      <w:r>
        <w:t xml:space="preserve">”</w:t>
      </w:r>
      <w:r>
        <w:t xml:space="preserve">) revisada por la organización, enlazada desde home, speakers, registro y programa, que distinga con claridad: qué está abierto, qué está cerrado y qué viene después. Eliminar o marcar como</w:t>
      </w:r>
      <w:r>
        <w:t xml:space="preserve"> </w:t>
      </w:r>
      <w:r>
        <w:t xml:space="preserve">“</w:t>
      </w:r>
      <w:r>
        <w:t xml:space="preserve">cerrado</w:t>
      </w:r>
      <w:r>
        <w:t xml:space="preserve">”</w:t>
      </w:r>
      <w:r>
        <w:t xml:space="preserve"> </w:t>
      </w:r>
      <w:r>
        <w:t xml:space="preserve">todo plazo vencido. Unificar el formato de póster (A0 o A1, uno solo).</w:t>
      </w:r>
    </w:p>
    <w:p>
      <w:r>
        <w:pict>
          <v:rect style="width:0;height:1.5pt" o:hralign="center" o:hrstd="t" o:hr="t"/>
        </w:pict>
      </w:r>
    </w:p>
    <w:bookmarkEnd w:id="27"/>
    <w:bookmarkStart w:id="28" w:name="idioma-y-audiencia"/>
    <w:p>
      <w:pPr>
        <w:pStyle w:val="Heading2"/>
      </w:pPr>
      <w:r>
        <w:t xml:space="preserve">6. Idioma y audiencia</w:t>
      </w:r>
    </w:p>
    <w:p>
      <w:pPr>
        <w:numPr>
          <w:ilvl w:val="0"/>
          <w:numId w:val="1008"/>
        </w:numPr>
        <w:pStyle w:val="Compact"/>
      </w:pPr>
      <w:r>
        <w:t xml:space="preserve">La web está</w:t>
      </w:r>
      <w:r>
        <w:t xml:space="preserve"> </w:t>
      </w:r>
      <w:r>
        <w:rPr>
          <w:bCs/>
          <w:b/>
        </w:rPr>
        <w:t xml:space="preserve">solo en inglés</w:t>
      </w:r>
      <w:r>
        <w:t xml:space="preserve">, mientras las newsletters se publican en 5–6 idiomas (inglés, español, italiano, francés, portugués, árabe). Hay una incoherencia de estrategia: se invierte en traducir newsletters pero no la web de venta.</w:t>
      </w:r>
    </w:p>
    <w:p>
      <w:pPr>
        <w:numPr>
          <w:ilvl w:val="0"/>
          <w:numId w:val="1008"/>
        </w:numPr>
        <w:pStyle w:val="Compact"/>
      </w:pPr>
      <w:r>
        <w:t xml:space="preserve">El propio público objetivo declarado en la home empieza por</w:t>
      </w:r>
      <w:r>
        <w:t xml:space="preserve"> </w:t>
      </w:r>
      <w:r>
        <w:t xml:space="preserve">“</w:t>
      </w:r>
      <w:r>
        <w:t xml:space="preserve">Municipal technicians</w:t>
      </w:r>
      <w:r>
        <w:t xml:space="preserve">”</w:t>
      </w:r>
      <w:r>
        <w:t xml:space="preserve"> </w:t>
      </w:r>
      <w:r>
        <w:t xml:space="preserve">—técnicos municipales, en su mayoría españoles y catalanes— y el evento ocurre en Cataluña. Para este colectivo, el inglés como único idioma es una barrera de conversión real, especialmente en el paso del pago.</w:t>
      </w:r>
    </w:p>
    <w:p>
      <w:pPr>
        <w:numPr>
          <w:ilvl w:val="0"/>
          <w:numId w:val="1008"/>
        </w:numPr>
        <w:pStyle w:val="Compact"/>
      </w:pPr>
      <w:r>
        <w:t xml:space="preserve">El selector de idioma de la cabecera solo muestra</w:t>
      </w:r>
      <w:r>
        <w:t xml:space="preserve"> </w:t>
      </w:r>
      <w:r>
        <w:t xml:space="preserve">“</w:t>
      </w:r>
      <w:r>
        <w:t xml:space="preserve">English</w:t>
      </w:r>
      <w:r>
        <w:t xml:space="preserve">”</w:t>
      </w:r>
      <w:r>
        <w:t xml:space="preserve">, lo que promete una funcionalidad que no existe (o no se percibe).</w:t>
      </w:r>
    </w:p>
    <w:p>
      <w:pPr>
        <w:pStyle w:val="FirstParagraph"/>
      </w:pPr>
      <w:r>
        <w:rPr>
          <w:bCs/>
          <w:b/>
        </w:rPr>
        <w:t xml:space="preserve">Recomendación.</w:t>
      </w:r>
      <w:r>
        <w:t xml:space="preserve"> </w:t>
      </w:r>
      <w:r>
        <w:t xml:space="preserve">Priorizar una</w:t>
      </w:r>
      <w:r>
        <w:t xml:space="preserve"> </w:t>
      </w:r>
      <w:r>
        <w:rPr>
          <w:bCs/>
          <w:b/>
        </w:rPr>
        <w:t xml:space="preserve">versión en español</w:t>
      </w:r>
      <w:r>
        <w:t xml:space="preserve"> </w:t>
      </w:r>
      <w:r>
        <w:t xml:space="preserve">(y, si el presupuesto lo permite, catalán) al menos de las páginas del embudo: home, registro, tarifas y plan-your-stay. Si no es viable a corto plazo, incorporar micro-resúmenes en español en los puntos críticos (registro y tarifas).</w:t>
      </w:r>
    </w:p>
    <w:p>
      <w:r>
        <w:pict>
          <v:rect style="width:0;height:1.5pt" o:hralign="center" o:hrstd="t" o:hr="t"/>
        </w:pict>
      </w:r>
    </w:p>
    <w:bookmarkEnd w:id="28"/>
    <w:bookmarkStart w:id="29" w:name="X340ab9b02853e8a6bfe80ee1dfa965013825c7d"/>
    <w:p>
      <w:pPr>
        <w:pStyle w:val="Heading2"/>
      </w:pPr>
      <w:r>
        <w:t xml:space="preserve">7. Credibilidad y detalles que erosionan la confianza</w:t>
      </w:r>
    </w:p>
    <w:p>
      <w:pPr>
        <w:numPr>
          <w:ilvl w:val="0"/>
          <w:numId w:val="1009"/>
        </w:numPr>
        <w:pStyle w:val="Compact"/>
      </w:pPr>
      <w:r>
        <w:rPr>
          <w:bCs/>
          <w:b/>
        </w:rPr>
        <w:t xml:space="preserve">Contador de patrocinadores en</w:t>
      </w:r>
      <w:r>
        <w:rPr>
          <w:bCs/>
          <w:b/>
        </w:rPr>
        <w:t xml:space="preserve"> </w:t>
      </w:r>
      <w:r>
        <w:rPr>
          <w:bCs/>
          <w:b/>
        </w:rPr>
        <w:t xml:space="preserve">“</w:t>
      </w:r>
      <w:r>
        <w:rPr>
          <w:bCs/>
          <w:b/>
        </w:rPr>
        <w:t xml:space="preserve">0 +</w:t>
      </w:r>
      <w:r>
        <w:rPr>
          <w:bCs/>
          <w:b/>
        </w:rPr>
        <w:t xml:space="preserve">”</w:t>
      </w:r>
      <w:r>
        <w:t xml:space="preserve">: la página de sponsors muestra</w:t>
      </w:r>
      <w:r>
        <w:t xml:space="preserve"> </w:t>
      </w:r>
      <w:r>
        <w:t xml:space="preserve">“</w:t>
      </w:r>
      <w:r>
        <w:t xml:space="preserve">0 + Organizations supporting WGIC26</w:t>
      </w:r>
      <w:r>
        <w:t xml:space="preserve">”</w:t>
      </w:r>
      <w:r>
        <w:t xml:space="preserve"> </w:t>
      </w:r>
      <w:r>
        <w:t xml:space="preserve">justo encima del listado de una veintena de organizaciones. Un contador animado que parte de cero queda mal en capturas, en carga lenta y en buscadores.</w:t>
      </w:r>
    </w:p>
    <w:p>
      <w:pPr>
        <w:numPr>
          <w:ilvl w:val="0"/>
          <w:numId w:val="1009"/>
        </w:numPr>
        <w:pStyle w:val="Compact"/>
      </w:pPr>
      <w:r>
        <w:rPr>
          <w:bCs/>
          <w:b/>
        </w:rPr>
        <w:t xml:space="preserve">Numeración de newsletters invertida y confusa</w:t>
      </w:r>
      <w:r>
        <w:t xml:space="preserve">:</w:t>
      </w:r>
      <w:r>
        <w:t xml:space="preserve"> </w:t>
      </w:r>
      <w:r>
        <w:t xml:space="preserve">“</w:t>
      </w:r>
      <w:r>
        <w:t xml:space="preserve">Vol. I</w:t>
      </w:r>
      <w:r>
        <w:t xml:space="preserve">”</w:t>
      </w:r>
      <w:r>
        <w:t xml:space="preserve"> </w:t>
      </w:r>
      <w:r>
        <w:t xml:space="preserve">es la más reciente (julio #3) y</w:t>
      </w:r>
      <w:r>
        <w:t xml:space="preserve"> </w:t>
      </w:r>
      <w:r>
        <w:t xml:space="preserve">“</w:t>
      </w:r>
      <w:r>
        <w:t xml:space="preserve">Vol. 10</w:t>
      </w:r>
      <w:r>
        <w:t xml:space="preserve">”</w:t>
      </w:r>
      <w:r>
        <w:t xml:space="preserve"> </w:t>
      </w:r>
      <w:r>
        <w:t xml:space="preserve">la más antigua; en julio hay tres entregas con nombres casi idénticos (</w:t>
      </w:r>
      <w:r>
        <w:t xml:space="preserve">“</w:t>
      </w:r>
      <w:r>
        <w:t xml:space="preserve">July Newsletter #3</w:t>
      </w:r>
      <w:r>
        <w:t xml:space="preserve">”</w:t>
      </w:r>
      <w:r>
        <w:t xml:space="preserve">,</w:t>
      </w:r>
      <w:r>
        <w:t xml:space="preserve"> </w:t>
      </w:r>
      <w:r>
        <w:t xml:space="preserve">“</w:t>
      </w:r>
      <w:r>
        <w:t xml:space="preserve">#2</w:t>
      </w:r>
      <w:r>
        <w:t xml:space="preserve">”</w:t>
      </w:r>
      <w:r>
        <w:t xml:space="preserve">,</w:t>
      </w:r>
      <w:r>
        <w:t xml:space="preserve"> </w:t>
      </w:r>
      <w:r>
        <w:t xml:space="preserve">“</w:t>
      </w:r>
      <w:r>
        <w:t xml:space="preserve">July Newsletter</w:t>
      </w:r>
      <w:r>
        <w:t xml:space="preserve">”</w:t>
      </w:r>
      <w:r>
        <w:t xml:space="preserve">). Nadie entiende cuál leer.</w:t>
      </w:r>
    </w:p>
    <w:p>
      <w:pPr>
        <w:numPr>
          <w:ilvl w:val="0"/>
          <w:numId w:val="1009"/>
        </w:numPr>
        <w:pStyle w:val="Compact"/>
      </w:pPr>
      <w:r>
        <w:rPr>
          <w:bCs/>
          <w:b/>
        </w:rPr>
        <w:t xml:space="preserve">“</w:t>
      </w:r>
      <w:r>
        <w:rPr>
          <w:bCs/>
          <w:b/>
        </w:rPr>
        <w:t xml:space="preserve">Conference</w:t>
      </w:r>
      <w:r>
        <w:rPr>
          <w:bCs/>
          <w:b/>
        </w:rPr>
        <w:t xml:space="preserve">”</w:t>
      </w:r>
      <w:r>
        <w:rPr>
          <w:bCs/>
          <w:b/>
        </w:rPr>
        <w:t xml:space="preserve"> </w:t>
      </w:r>
      <w:r>
        <w:rPr>
          <w:bCs/>
          <w:b/>
        </w:rPr>
        <w:t xml:space="preserve">vs</w:t>
      </w:r>
      <w:r>
        <w:rPr>
          <w:bCs/>
          <w:b/>
        </w:rPr>
        <w:t xml:space="preserve"> </w:t>
      </w:r>
      <w:r>
        <w:rPr>
          <w:bCs/>
          <w:b/>
        </w:rPr>
        <w:t xml:space="preserve">“</w:t>
      </w:r>
      <w:r>
        <w:rPr>
          <w:bCs/>
          <w:b/>
        </w:rPr>
        <w:t xml:space="preserve">Congress</w:t>
      </w:r>
      <w:r>
        <w:rPr>
          <w:bCs/>
          <w:b/>
        </w:rPr>
        <w:t xml:space="preserve">”</w:t>
      </w:r>
      <w:r>
        <w:t xml:space="preserve">: la pestaña del navegador dice</w:t>
      </w:r>
      <w:r>
        <w:t xml:space="preserve"> </w:t>
      </w:r>
      <w:r>
        <w:t xml:space="preserve">“</w:t>
      </w:r>
      <w:r>
        <w:t xml:space="preserve">Green Infrastructure Conference 2026</w:t>
      </w:r>
      <w:r>
        <w:t xml:space="preserve">”</w:t>
      </w:r>
      <w:r>
        <w:t xml:space="preserve"> </w:t>
      </w:r>
      <w:r>
        <w:t xml:space="preserve">y todo el resto de la marca dice</w:t>
      </w:r>
      <w:r>
        <w:t xml:space="preserve"> </w:t>
      </w:r>
      <w:r>
        <w:t xml:space="preserve">“</w:t>
      </w:r>
      <w:r>
        <w:t xml:space="preserve">World Green Infrastructure Congress</w:t>
      </w:r>
      <w:r>
        <w:t xml:space="preserve">”</w:t>
      </w:r>
      <w:r>
        <w:t xml:space="preserve">. El nombre del evento debe ser único y literal en todo el sitio, metadatos incluidos (afecta también al SEO).</w:t>
      </w:r>
    </w:p>
    <w:p>
      <w:pPr>
        <w:numPr>
          <w:ilvl w:val="0"/>
          <w:numId w:val="1009"/>
        </w:numPr>
        <w:pStyle w:val="Compact"/>
      </w:pPr>
      <w:r>
        <w:rPr>
          <w:bCs/>
          <w:b/>
        </w:rPr>
        <w:t xml:space="preserve">Listado de temas con letras saltadas</w:t>
      </w:r>
      <w:r>
        <w:t xml:space="preserve">: en</w:t>
      </w:r>
      <w:r>
        <w:t xml:space="preserve"> </w:t>
      </w:r>
      <w:r>
        <w:t xml:space="preserve">“</w:t>
      </w:r>
      <w:r>
        <w:t xml:space="preserve">Main Topics</w:t>
      </w:r>
      <w:r>
        <w:t xml:space="preserve">”</w:t>
      </w:r>
      <w:r>
        <w:t xml:space="preserve">, la tabla de impactos enumera a), b), d), e), f), g), i), k) — faltan c), h) y j).</w:t>
      </w:r>
    </w:p>
    <w:p>
      <w:pPr>
        <w:numPr>
          <w:ilvl w:val="0"/>
          <w:numId w:val="1009"/>
        </w:numPr>
        <w:pStyle w:val="Compact"/>
      </w:pPr>
      <w:r>
        <w:rPr>
          <w:bCs/>
          <w:b/>
        </w:rPr>
        <w:t xml:space="preserve">Cuenta atrás de la home</w:t>
      </w:r>
      <w:r>
        <w:t xml:space="preserve">: en el HTML inicial se sirve en</w:t>
      </w:r>
      <w:r>
        <w:t xml:space="preserve"> </w:t>
      </w:r>
      <w:r>
        <w:t xml:space="preserve">“</w:t>
      </w:r>
      <w:r>
        <w:t xml:space="preserve">0 d 00 h 00 m 00 s</w:t>
      </w:r>
      <w:r>
        <w:t xml:space="preserve">”</w:t>
      </w:r>
      <w:r>
        <w:t xml:space="preserve"> </w:t>
      </w:r>
      <w:r>
        <w:t xml:space="preserve">hasta que carga el JavaScript; en conexiones lentas el primer dato que ve el usuario es un contador a cero.</w:t>
      </w:r>
    </w:p>
    <w:p>
      <w:pPr>
        <w:numPr>
          <w:ilvl w:val="0"/>
          <w:numId w:val="1009"/>
        </w:numPr>
        <w:pStyle w:val="Compact"/>
      </w:pPr>
      <w:r>
        <w:rPr>
          <w:bCs/>
          <w:b/>
        </w:rPr>
        <w:t xml:space="preserve">FAQ sin respuestas visibles</w:t>
      </w:r>
      <w:r>
        <w:t xml:space="preserve">:</w:t>
      </w:r>
      <w:r>
        <w:t xml:space="preserve"> </w:t>
      </w:r>
      <w:r>
        <w:t xml:space="preserve">“</w:t>
      </w:r>
      <w:r>
        <w:t xml:space="preserve">Can I cancel or get a refund?</w:t>
      </w:r>
      <w:r>
        <w:t xml:space="preserve">”</w:t>
      </w:r>
      <w:r>
        <w:t xml:space="preserve">,</w:t>
      </w:r>
      <w:r>
        <w:t xml:space="preserve"> </w:t>
      </w:r>
      <w:r>
        <w:t xml:space="preserve">“</w:t>
      </w:r>
      <w:r>
        <w:t xml:space="preserve">Are meals included?</w:t>
      </w:r>
      <w:r>
        <w:t xml:space="preserve">”</w:t>
      </w:r>
      <w:r>
        <w:t xml:space="preserve">,</w:t>
      </w:r>
      <w:r>
        <w:t xml:space="preserve"> </w:t>
      </w:r>
      <w:r>
        <w:t xml:space="preserve">“</w:t>
      </w:r>
      <w:r>
        <w:t xml:space="preserve">Do I need an invoice?</w:t>
      </w:r>
      <w:r>
        <w:t xml:space="preserve">”</w:t>
      </w:r>
      <w:r>
        <w:t xml:space="preserve"> </w:t>
      </w:r>
      <w:r>
        <w:t xml:space="preserve">— tres preguntas cuyas respuestas son decisivas para comprar y no aparecen en el flujo de pago.</w:t>
      </w:r>
    </w:p>
    <w:p>
      <w:r>
        <w:pict>
          <v:rect style="width:0;height:1.5pt" o:hralign="center" o:hrstd="t" o:hr="t"/>
        </w:pict>
      </w:r>
    </w:p>
    <w:bookmarkEnd w:id="29"/>
    <w:bookmarkStart w:id="33" w:name="plan-de-acción-priorizado"/>
    <w:p>
      <w:pPr>
        <w:pStyle w:val="Heading2"/>
      </w:pPr>
      <w:r>
        <w:t xml:space="preserve">8. Plan de acción priorizado</w:t>
      </w:r>
    </w:p>
    <w:bookmarkStart w:id="30" w:name="X87e69c95356cd74a93fab3d922775446456e174"/>
    <w:p>
      <w:pPr>
        <w:pStyle w:val="Heading3"/>
      </w:pPr>
      <w:r>
        <w:t xml:space="preserve">Quick wins (1–2 semanas, alto impacto, bajo coste)</w:t>
      </w:r>
    </w:p>
    <w:tbl>
      <w:tblPr>
        <w:tblStyle w:val="Table"/>
        <w:tblW w:type="pct" w:w="5000"/>
        <w:tblLook w:firstRow="1" w:lastRow="0" w:firstColumn="0" w:lastColumn="0" w:noHBand="0" w:noVBand="0" w:val="0020"/>
      </w:tblPr>
      <w:tblGrid>
        <w:gridCol w:w="720"/>
        <w:gridCol w:w="1920"/>
        <w:gridCol w:w="5280"/>
      </w:tblGrid>
      <w:tr>
        <w:trPr>
          <w:tblHeader w:val="true"/>
        </w:trPr>
        <w:tc>
          <w:tcPr/>
          <w:p>
            <w:pPr>
              <w:pStyle w:val="Compact"/>
              <w:jc w:val="left"/>
            </w:pPr>
            <w:r>
              <w:t xml:space="preserve">#</w:t>
            </w:r>
          </w:p>
        </w:tc>
        <w:tc>
          <w:tcPr/>
          <w:p>
            <w:pPr>
              <w:pStyle w:val="Compact"/>
              <w:jc w:val="left"/>
            </w:pPr>
            <w:r>
              <w:t xml:space="preserve">Acción</w:t>
            </w:r>
          </w:p>
        </w:tc>
        <w:tc>
          <w:tcPr/>
          <w:p>
            <w:pPr>
              <w:pStyle w:val="Compact"/>
              <w:jc w:val="left"/>
            </w:pPr>
            <w:r>
              <w:t xml:space="preserve">Problema que resuelve</w:t>
            </w:r>
          </w:p>
        </w:tc>
      </w:tr>
      <w:tr>
        <w:tc>
          <w:tcPr/>
          <w:p>
            <w:pPr>
              <w:pStyle w:val="Compact"/>
              <w:jc w:val="left"/>
            </w:pPr>
            <w:r>
              <w:t xml:space="preserve">1</w:t>
            </w:r>
          </w:p>
        </w:tc>
        <w:tc>
          <w:tcPr/>
          <w:p>
            <w:pPr>
              <w:pStyle w:val="Compact"/>
              <w:jc w:val="left"/>
            </w:pPr>
            <w:r>
              <w:t xml:space="preserve">Quitar el parámetro</w:t>
            </w:r>
            <w:r>
              <w:t xml:space="preserve"> </w:t>
            </w:r>
            <w:r>
              <w:rPr>
                <w:rStyle w:val="VerbatimChar"/>
              </w:rPr>
              <w:t xml:space="preserve">?preview=1</w:t>
            </w:r>
            <w:r>
              <w:t xml:space="preserve"> </w:t>
            </w:r>
            <w:r>
              <w:t xml:space="preserve">del enlace de registro y verificar el formulario</w:t>
            </w:r>
          </w:p>
        </w:tc>
        <w:tc>
          <w:tcPr/>
          <w:p>
            <w:pPr>
              <w:pStyle w:val="Compact"/>
              <w:jc w:val="left"/>
            </w:pPr>
            <w:r>
              <w:t xml:space="preserve">Riesgo operativo en la venta</w:t>
            </w:r>
          </w:p>
        </w:tc>
      </w:tr>
      <w:tr>
        <w:tc>
          <w:tcPr/>
          <w:p>
            <w:pPr>
              <w:pStyle w:val="Compact"/>
              <w:jc w:val="left"/>
            </w:pPr>
            <w:r>
              <w:t xml:space="preserve">2</w:t>
            </w:r>
          </w:p>
        </w:tc>
        <w:tc>
          <w:tcPr/>
          <w:p>
            <w:pPr>
              <w:pStyle w:val="Compact"/>
              <w:jc w:val="left"/>
            </w:pPr>
            <w:r>
              <w:t xml:space="preserve">Botón de Helice siempre activo + validación al clic</w:t>
            </w:r>
          </w:p>
        </w:tc>
        <w:tc>
          <w:tcPr/>
          <w:p>
            <w:pPr>
              <w:pStyle w:val="Compact"/>
              <w:jc w:val="left"/>
            </w:pPr>
            <w:r>
              <w:t xml:space="preserve">Principal fricción de registro</w:t>
            </w:r>
          </w:p>
        </w:tc>
      </w:tr>
      <w:tr>
        <w:tc>
          <w:tcPr/>
          <w:p>
            <w:pPr>
              <w:pStyle w:val="Compact"/>
              <w:jc w:val="left"/>
            </w:pPr>
            <w:r>
              <w:t xml:space="preserve">3</w:t>
            </w:r>
          </w:p>
        </w:tc>
        <w:tc>
          <w:tcPr/>
          <w:p>
            <w:pPr>
              <w:pStyle w:val="Compact"/>
              <w:jc w:val="left"/>
            </w:pPr>
            <w:r>
              <w:t xml:space="preserve">Eliminar el popup de la página de registro</w:t>
            </w:r>
          </w:p>
        </w:tc>
        <w:tc>
          <w:tcPr/>
          <w:p>
            <w:pPr>
              <w:pStyle w:val="Compact"/>
              <w:jc w:val="left"/>
            </w:pPr>
            <w:r>
              <w:t xml:space="preserve">Interrupción en el embudo de compra</w:t>
            </w:r>
          </w:p>
        </w:tc>
      </w:tr>
      <w:tr>
        <w:tc>
          <w:tcPr/>
          <w:p>
            <w:pPr>
              <w:pStyle w:val="Compact"/>
              <w:jc w:val="left"/>
            </w:pPr>
            <w:r>
              <w:t xml:space="preserve">4</w:t>
            </w:r>
          </w:p>
        </w:tc>
        <w:tc>
          <w:tcPr/>
          <w:p>
            <w:pPr>
              <w:pStyle w:val="Compact"/>
              <w:jc w:val="left"/>
            </w:pPr>
            <w:r>
              <w:t xml:space="preserve">Unificar nombres de tarifas entre web y Helice (mismo texto literal)</w:t>
            </w:r>
          </w:p>
        </w:tc>
        <w:tc>
          <w:tcPr/>
          <w:p>
            <w:pPr>
              <w:pStyle w:val="Compact"/>
              <w:jc w:val="left"/>
            </w:pPr>
            <w:r>
              <w:t xml:space="preserve">No reconocimiento de la tarifa elegida</w:t>
            </w:r>
          </w:p>
        </w:tc>
      </w:tr>
      <w:tr>
        <w:tc>
          <w:tcPr/>
          <w:p>
            <w:pPr>
              <w:pStyle w:val="Compact"/>
              <w:jc w:val="left"/>
            </w:pPr>
            <w:r>
              <w:t xml:space="preserve">5</w:t>
            </w:r>
          </w:p>
        </w:tc>
        <w:tc>
          <w:tcPr/>
          <w:p>
            <w:pPr>
              <w:pStyle w:val="Compact"/>
              <w:jc w:val="left"/>
            </w:pPr>
            <w:r>
              <w:t xml:space="preserve">Corregir la tabla de fechas: marcar plazos cerrados, resolver la cronología imposible</w:t>
            </w:r>
          </w:p>
        </w:tc>
        <w:tc>
          <w:tcPr/>
          <w:p>
            <w:pPr>
              <w:pStyle w:val="Compact"/>
              <w:jc w:val="left"/>
            </w:pPr>
            <w:r>
              <w:t xml:space="preserve">Contradicciones de plazos</w:t>
            </w:r>
          </w:p>
        </w:tc>
      </w:tr>
      <w:tr>
        <w:tc>
          <w:tcPr/>
          <w:p>
            <w:pPr>
              <w:pStyle w:val="Compact"/>
              <w:jc w:val="left"/>
            </w:pPr>
            <w:r>
              <w:t xml:space="preserve">6</w:t>
            </w:r>
          </w:p>
        </w:tc>
        <w:tc>
          <w:tcPr/>
          <w:p>
            <w:pPr>
              <w:pStyle w:val="Compact"/>
              <w:jc w:val="left"/>
            </w:pPr>
            <w:r>
              <w:t xml:space="preserve">Unificar</w:t>
            </w:r>
            <w:r>
              <w:t xml:space="preserve"> </w:t>
            </w:r>
            <w:r>
              <w:t xml:space="preserve">“</w:t>
            </w:r>
            <w:r>
              <w:t xml:space="preserve">Congress</w:t>
            </w:r>
            <w:r>
              <w:t xml:space="preserve">”</w:t>
            </w:r>
            <w:r>
              <w:t xml:space="preserve"> </w:t>
            </w:r>
            <w:r>
              <w:t xml:space="preserve">en título de pestaña y metadatos</w:t>
            </w:r>
          </w:p>
        </w:tc>
        <w:tc>
          <w:tcPr/>
          <w:p>
            <w:pPr>
              <w:pStyle w:val="Compact"/>
              <w:jc w:val="left"/>
            </w:pPr>
            <w:r>
              <w:t xml:space="preserve">Coherencia de marca y SEO</w:t>
            </w:r>
          </w:p>
        </w:tc>
      </w:tr>
      <w:tr>
        <w:tc>
          <w:tcPr/>
          <w:p>
            <w:pPr>
              <w:pStyle w:val="Compact"/>
              <w:jc w:val="left"/>
            </w:pPr>
            <w:r>
              <w:t xml:space="preserve">7</w:t>
            </w:r>
          </w:p>
        </w:tc>
        <w:tc>
          <w:tcPr/>
          <w:p>
            <w:pPr>
              <w:pStyle w:val="Compact"/>
              <w:jc w:val="left"/>
            </w:pPr>
            <w:r>
              <w:t xml:space="preserve">Arreglar el contador</w:t>
            </w:r>
            <w:r>
              <w:t xml:space="preserve"> </w:t>
            </w:r>
            <w:r>
              <w:t xml:space="preserve">“</w:t>
            </w:r>
            <w:r>
              <w:t xml:space="preserve">0 +</w:t>
            </w:r>
            <w:r>
              <w:t xml:space="preserve">”</w:t>
            </w:r>
            <w:r>
              <w:t xml:space="preserve"> </w:t>
            </w:r>
            <w:r>
              <w:t xml:space="preserve">y la numeración de newsletters</w:t>
            </w:r>
          </w:p>
        </w:tc>
        <w:tc>
          <w:tcPr/>
          <w:p>
            <w:pPr>
              <w:pStyle w:val="Compact"/>
              <w:jc w:val="left"/>
            </w:pPr>
            <w:r>
              <w:t xml:space="preserve">Credibilidad</w:t>
            </w:r>
          </w:p>
        </w:tc>
      </w:tr>
      <w:tr>
        <w:tc>
          <w:tcPr/>
          <w:p>
            <w:pPr>
              <w:pStyle w:val="Compact"/>
              <w:jc w:val="left"/>
            </w:pPr>
            <w:r>
              <w:t xml:space="preserve">8</w:t>
            </w:r>
          </w:p>
        </w:tc>
        <w:tc>
          <w:tcPr/>
          <w:p>
            <w:pPr>
              <w:pStyle w:val="Compact"/>
              <w:jc w:val="left"/>
            </w:pPr>
            <w:r>
              <w:t xml:space="preserve">Completar el listado de temas (letras c, h, j)</w:t>
            </w:r>
          </w:p>
        </w:tc>
        <w:tc>
          <w:tcPr/>
          <w:p>
            <w:pPr>
              <w:pStyle w:val="Compact"/>
              <w:jc w:val="left"/>
            </w:pPr>
            <w:r>
              <w:t xml:space="preserve">Detalle de calidad</w:t>
            </w:r>
          </w:p>
        </w:tc>
      </w:tr>
    </w:tbl>
    <w:bookmarkEnd w:id="30"/>
    <w:bookmarkStart w:id="31" w:name="mejoras-medias-36-semanas"/>
    <w:p>
      <w:pPr>
        <w:pStyle w:val="Heading3"/>
      </w:pPr>
      <w:r>
        <w:t xml:space="preserve">Mejoras medias (3–6 semanas)</w:t>
      </w:r>
    </w:p>
    <w:tbl>
      <w:tblPr>
        <w:tblStyle w:val="Table"/>
        <w:tblW w:type="pct" w:w="5000"/>
        <w:tblLook w:firstRow="1" w:lastRow="0" w:firstColumn="0" w:lastColumn="0" w:noHBand="0" w:noVBand="0" w:val="0020"/>
      </w:tblPr>
      <w:tblGrid>
        <w:gridCol w:w="720"/>
        <w:gridCol w:w="1920"/>
        <w:gridCol w:w="5280"/>
      </w:tblGrid>
      <w:tr>
        <w:trPr>
          <w:tblHeader w:val="true"/>
        </w:trPr>
        <w:tc>
          <w:tcPr/>
          <w:p>
            <w:pPr>
              <w:pStyle w:val="Compact"/>
              <w:jc w:val="left"/>
            </w:pPr>
            <w:r>
              <w:t xml:space="preserve">#</w:t>
            </w:r>
          </w:p>
        </w:tc>
        <w:tc>
          <w:tcPr/>
          <w:p>
            <w:pPr>
              <w:pStyle w:val="Compact"/>
              <w:jc w:val="left"/>
            </w:pPr>
            <w:r>
              <w:t xml:space="preserve">Acción</w:t>
            </w:r>
          </w:p>
        </w:tc>
        <w:tc>
          <w:tcPr/>
          <w:p>
            <w:pPr>
              <w:pStyle w:val="Compact"/>
              <w:jc w:val="left"/>
            </w:pPr>
            <w:r>
              <w:t xml:space="preserve">Problema que resuelve</w:t>
            </w:r>
          </w:p>
        </w:tc>
      </w:tr>
      <w:tr>
        <w:tc>
          <w:tcPr/>
          <w:p>
            <w:pPr>
              <w:pStyle w:val="Compact"/>
              <w:jc w:val="left"/>
            </w:pPr>
            <w:r>
              <w:t xml:space="preserve">9</w:t>
            </w:r>
          </w:p>
        </w:tc>
        <w:tc>
          <w:tcPr/>
          <w:p>
            <w:pPr>
              <w:pStyle w:val="Compact"/>
              <w:jc w:val="left"/>
            </w:pPr>
            <w:r>
              <w:t xml:space="preserve">Página maestra</w:t>
            </w:r>
            <w:r>
              <w:t xml:space="preserve"> </w:t>
            </w:r>
            <w:r>
              <w:t xml:space="preserve">“</w:t>
            </w:r>
            <w:r>
              <w:t xml:space="preserve">Key dates</w:t>
            </w:r>
            <w:r>
              <w:t xml:space="preserve">”</w:t>
            </w:r>
            <w:r>
              <w:t xml:space="preserve"> </w:t>
            </w:r>
            <w:r>
              <w:t xml:space="preserve">enlazada desde todo el sitio</w:t>
            </w:r>
          </w:p>
        </w:tc>
        <w:tc>
          <w:tcPr/>
          <w:p>
            <w:pPr>
              <w:pStyle w:val="Compact"/>
              <w:jc w:val="left"/>
            </w:pPr>
            <w:r>
              <w:t xml:space="preserve">Dispersión y contradicción de plazos</w:t>
            </w:r>
          </w:p>
        </w:tc>
      </w:tr>
      <w:tr>
        <w:tc>
          <w:tcPr/>
          <w:p>
            <w:pPr>
              <w:pStyle w:val="Compact"/>
              <w:jc w:val="left"/>
            </w:pPr>
            <w:r>
              <w:t xml:space="preserve">10</w:t>
            </w:r>
          </w:p>
        </w:tc>
        <w:tc>
          <w:tcPr/>
          <w:p>
            <w:pPr>
              <w:pStyle w:val="Compact"/>
              <w:jc w:val="left"/>
            </w:pPr>
            <w:r>
              <w:t xml:space="preserve">Personalizar Helice con logo/colores WGIC26 + mensaje de transición antes del salto</w:t>
            </w:r>
          </w:p>
        </w:tc>
        <w:tc>
          <w:tcPr/>
          <w:p>
            <w:pPr>
              <w:pStyle w:val="Compact"/>
              <w:jc w:val="left"/>
            </w:pPr>
            <w:r>
              <w:t xml:space="preserve">Ruptura de confianza en el pago</w:t>
            </w:r>
          </w:p>
        </w:tc>
      </w:tr>
      <w:tr>
        <w:tc>
          <w:tcPr/>
          <w:p>
            <w:pPr>
              <w:pStyle w:val="Compact"/>
              <w:jc w:val="left"/>
            </w:pPr>
            <w:r>
              <w:t xml:space="preserve">11</w:t>
            </w:r>
          </w:p>
        </w:tc>
        <w:tc>
          <w:tcPr/>
          <w:p>
            <w:pPr>
              <w:pStyle w:val="Compact"/>
              <w:jc w:val="left"/>
            </w:pPr>
            <w:r>
              <w:t xml:space="preserve">Reordenar la página de registro: tarifas arriba, legal resumido, FAQ con respuestas</w:t>
            </w:r>
          </w:p>
        </w:tc>
        <w:tc>
          <w:tcPr/>
          <w:p>
            <w:pPr>
              <w:pStyle w:val="Compact"/>
              <w:jc w:val="left"/>
            </w:pPr>
            <w:r>
              <w:t xml:space="preserve">Fricción y dudas en la compra</w:t>
            </w:r>
          </w:p>
        </w:tc>
      </w:tr>
      <w:tr>
        <w:tc>
          <w:tcPr/>
          <w:p>
            <w:pPr>
              <w:pStyle w:val="Compact"/>
              <w:jc w:val="left"/>
            </w:pPr>
            <w:r>
              <w:t xml:space="preserve">12</w:t>
            </w:r>
          </w:p>
        </w:tc>
        <w:tc>
          <w:tcPr/>
          <w:p>
            <w:pPr>
              <w:pStyle w:val="Compact"/>
              <w:jc w:val="left"/>
            </w:pPr>
            <w:r>
              <w:t xml:space="preserve">Un solo CTA en cabecera (</w:t>
            </w:r>
            <w:r>
              <w:t xml:space="preserve">“</w:t>
            </w:r>
            <w:r>
              <w:t xml:space="preserve">Register</w:t>
            </w:r>
            <w:r>
              <w:t xml:space="preserve">”</w:t>
            </w:r>
            <w:r>
              <w:t xml:space="preserve">);</w:t>
            </w:r>
            <w:r>
              <w:t xml:space="preserve"> </w:t>
            </w:r>
            <w:r>
              <w:t xml:space="preserve">“</w:t>
            </w:r>
            <w:r>
              <w:t xml:space="preserve">Papers</w:t>
            </w:r>
            <w:r>
              <w:t xml:space="preserve">”</w:t>
            </w:r>
            <w:r>
              <w:t xml:space="preserve"> </w:t>
            </w:r>
            <w:r>
              <w:t xml:space="preserve">al menú; renombrar la página /speakers como</w:t>
            </w:r>
            <w:r>
              <w:t xml:space="preserve"> </w:t>
            </w:r>
            <w:r>
              <w:t xml:space="preserve">“</w:t>
            </w:r>
            <w:r>
              <w:t xml:space="preserve">Papers &amp; Projects</w:t>
            </w:r>
            <w:r>
              <w:t xml:space="preserve">”</w:t>
            </w:r>
            <w:r>
              <w:t xml:space="preserve"> </w:t>
            </w:r>
            <w:r>
              <w:t xml:space="preserve">o el botón como</w:t>
            </w:r>
            <w:r>
              <w:t xml:space="preserve"> </w:t>
            </w:r>
            <w:r>
              <w:t xml:space="preserve">“</w:t>
            </w:r>
            <w:r>
              <w:t xml:space="preserve">Be a speaker</w:t>
            </w:r>
            <w:r>
              <w:t xml:space="preserve">”</w:t>
            </w:r>
          </w:p>
        </w:tc>
        <w:tc>
          <w:tcPr/>
          <w:p>
            <w:pPr>
              <w:pStyle w:val="Compact"/>
              <w:jc w:val="left"/>
            </w:pPr>
            <w:r>
              <w:t xml:space="preserve">CTAs que compiten, etiquetas confusas</w:t>
            </w:r>
          </w:p>
        </w:tc>
      </w:tr>
      <w:tr>
        <w:tc>
          <w:tcPr/>
          <w:p>
            <w:pPr>
              <w:pStyle w:val="Compact"/>
              <w:jc w:val="left"/>
            </w:pPr>
            <w:r>
              <w:t xml:space="preserve">13</w:t>
            </w:r>
          </w:p>
        </w:tc>
        <w:tc>
          <w:tcPr/>
          <w:p>
            <w:pPr>
              <w:pStyle w:val="Compact"/>
              <w:jc w:val="left"/>
            </w:pPr>
            <w:r>
              <w:t xml:space="preserve">Bloque</w:t>
            </w:r>
            <w:r>
              <w:t xml:space="preserve"> </w:t>
            </w:r>
            <w:r>
              <w:t xml:space="preserve">“</w:t>
            </w:r>
            <w:r>
              <w:t xml:space="preserve">Two cities, one congress</w:t>
            </w:r>
            <w:r>
              <w:t xml:space="preserve">”</w:t>
            </w:r>
            <w:r>
              <w:t xml:space="preserve"> </w:t>
            </w:r>
            <w:r>
              <w:t xml:space="preserve">+ logística Barcelona–Lleida en Plan your stay</w:t>
            </w:r>
          </w:p>
        </w:tc>
        <w:tc>
          <w:tcPr/>
          <w:p>
            <w:pPr>
              <w:pStyle w:val="Compact"/>
              <w:jc w:val="left"/>
            </w:pPr>
            <w:r>
              <w:t xml:space="preserve">Duda logística de los asistentes</w:t>
            </w:r>
          </w:p>
        </w:tc>
      </w:tr>
    </w:tbl>
    <w:bookmarkEnd w:id="31"/>
    <w:bookmarkStart w:id="32" w:name="estructurales-23-meses"/>
    <w:p>
      <w:pPr>
        <w:pStyle w:val="Heading3"/>
      </w:pPr>
      <w:r>
        <w:t xml:space="preserve">Estructurales (2–3 meses)</w:t>
      </w:r>
    </w:p>
    <w:tbl>
      <w:tblPr>
        <w:tblStyle w:val="Table"/>
        <w:tblW w:type="pct" w:w="5000"/>
        <w:tblLook w:firstRow="1" w:lastRow="0" w:firstColumn="0" w:lastColumn="0" w:noHBand="0" w:noVBand="0" w:val="0020"/>
      </w:tblPr>
      <w:tblGrid>
        <w:gridCol w:w="720"/>
        <w:gridCol w:w="1920"/>
        <w:gridCol w:w="5280"/>
      </w:tblGrid>
      <w:tr>
        <w:trPr>
          <w:tblHeader w:val="true"/>
        </w:trPr>
        <w:tc>
          <w:tcPr/>
          <w:p>
            <w:pPr>
              <w:pStyle w:val="Compact"/>
              <w:jc w:val="left"/>
            </w:pPr>
            <w:r>
              <w:t xml:space="preserve">#</w:t>
            </w:r>
          </w:p>
        </w:tc>
        <w:tc>
          <w:tcPr/>
          <w:p>
            <w:pPr>
              <w:pStyle w:val="Compact"/>
              <w:jc w:val="left"/>
            </w:pPr>
            <w:r>
              <w:t xml:space="preserve">Acción</w:t>
            </w:r>
          </w:p>
        </w:tc>
        <w:tc>
          <w:tcPr/>
          <w:p>
            <w:pPr>
              <w:pStyle w:val="Compact"/>
              <w:jc w:val="left"/>
            </w:pPr>
            <w:r>
              <w:t xml:space="preserve">Problema que resuelve</w:t>
            </w:r>
          </w:p>
        </w:tc>
      </w:tr>
      <w:tr>
        <w:tc>
          <w:tcPr/>
          <w:p>
            <w:pPr>
              <w:pStyle w:val="Compact"/>
              <w:jc w:val="left"/>
            </w:pPr>
            <w:r>
              <w:t xml:space="preserve">14</w:t>
            </w:r>
          </w:p>
        </w:tc>
        <w:tc>
          <w:tcPr/>
          <w:p>
            <w:pPr>
              <w:pStyle w:val="Compact"/>
              <w:jc w:val="left"/>
            </w:pPr>
            <w:r>
              <w:t xml:space="preserve">Versión en español del embudo completo (home, registro, tarifas, estancia)</w:t>
            </w:r>
          </w:p>
        </w:tc>
        <w:tc>
          <w:tcPr/>
          <w:p>
            <w:pPr>
              <w:pStyle w:val="Compact"/>
              <w:jc w:val="left"/>
            </w:pPr>
            <w:r>
              <w:t xml:space="preserve">Barrera idiomática para el público principal</w:t>
            </w:r>
          </w:p>
        </w:tc>
      </w:tr>
      <w:tr>
        <w:tc>
          <w:tcPr/>
          <w:p>
            <w:pPr>
              <w:pStyle w:val="Compact"/>
              <w:jc w:val="left"/>
            </w:pPr>
            <w:r>
              <w:t xml:space="preserve">15</w:t>
            </w:r>
          </w:p>
        </w:tc>
        <w:tc>
          <w:tcPr/>
          <w:p>
            <w:pPr>
              <w:pStyle w:val="Compact"/>
              <w:jc w:val="left"/>
            </w:pPr>
            <w:r>
              <w:t xml:space="preserve">Reestructuración del menú a 5 entradas + unificar Blog/Newsletters en</w:t>
            </w:r>
            <w:r>
              <w:t xml:space="preserve"> </w:t>
            </w:r>
            <w:r>
              <w:t xml:space="preserve">“</w:t>
            </w:r>
            <w:r>
              <w:t xml:space="preserve">News</w:t>
            </w:r>
            <w:r>
              <w:t xml:space="preserve">”</w:t>
            </w:r>
          </w:p>
        </w:tc>
        <w:tc>
          <w:tcPr/>
          <w:p>
            <w:pPr>
              <w:pStyle w:val="Compact"/>
              <w:jc w:val="left"/>
            </w:pPr>
            <w:r>
              <w:t xml:space="preserve">Arquitectura</w:t>
            </w:r>
            <w:r>
              <w:t xml:space="preserve"> </w:t>
            </w:r>
            <w:r>
              <w:t xml:space="preserve">“</w:t>
            </w:r>
            <w:r>
              <w:t xml:space="preserve">mezclada</w:t>
            </w:r>
            <w:r>
              <w:t xml:space="preserve">”</w:t>
            </w:r>
          </w:p>
        </w:tc>
      </w:tr>
      <w:tr>
        <w:tc>
          <w:tcPr/>
          <w:p>
            <w:pPr>
              <w:pStyle w:val="Compact"/>
              <w:jc w:val="left"/>
            </w:pPr>
            <w:r>
              <w:t xml:space="preserve">16</w:t>
            </w:r>
          </w:p>
        </w:tc>
        <w:tc>
          <w:tcPr/>
          <w:p>
            <w:pPr>
              <w:pStyle w:val="Compact"/>
              <w:jc w:val="left"/>
            </w:pPr>
            <w:r>
              <w:t xml:space="preserve">Test de usabilidad moderado (5–8 usuarios) sobre el flujo de registro tras los cambios</w:t>
            </w:r>
          </w:p>
        </w:tc>
        <w:tc>
          <w:tcPr/>
          <w:p>
            <w:pPr>
              <w:pStyle w:val="Compact"/>
              <w:jc w:val="left"/>
            </w:pPr>
            <w:r>
              <w:t xml:space="preserve">Validación con datos reales</w:t>
            </w:r>
          </w:p>
        </w:tc>
      </w:tr>
    </w:tbl>
    <w:p>
      <w:r>
        <w:pict>
          <v:rect style="width:0;height:1.5pt" o:hralign="center" o:hrstd="t" o:hr="t"/>
        </w:pict>
      </w:r>
    </w:p>
    <w:bookmarkEnd w:id="32"/>
    <w:bookmarkEnd w:id="33"/>
    <w:bookmarkStart w:id="34" w:name="conclusión"/>
    <w:p>
      <w:pPr>
        <w:pStyle w:val="Heading2"/>
      </w:pPr>
      <w:r>
        <w:t xml:space="preserve">9. Conclusión</w:t>
      </w:r>
    </w:p>
    <w:p>
      <w:pPr>
        <w:pStyle w:val="FirstParagraph"/>
      </w:pPr>
      <w:r>
        <w:t xml:space="preserve">El problema de fondo no es que la web esté</w:t>
      </w:r>
      <w:r>
        <w:t xml:space="preserve"> </w:t>
      </w:r>
      <w:r>
        <w:t xml:space="preserve">“</w:t>
      </w:r>
      <w:r>
        <w:t xml:space="preserve">mal hecha</w:t>
      </w:r>
      <w:r>
        <w:t xml:space="preserve">”</w:t>
      </w:r>
      <w:r>
        <w:t xml:space="preserve">: visualmente es sólida y el contenido existe. El problema es que</w:t>
      </w:r>
      <w:r>
        <w:t xml:space="preserve"> </w:t>
      </w:r>
      <w:r>
        <w:rPr>
          <w:bCs/>
          <w:b/>
        </w:rPr>
        <w:t xml:space="preserve">cada equipo (web, programa científico, inscripciones, newsletters) comunica por su cuenta</w:t>
      </w:r>
      <w:r>
        <w:t xml:space="preserve">, y el resultado es una experiencia de usuario fragmentada: nombres que cambian, fechas que se contradicen y un camino de registro con cinco obstáculos que termina en una plataforma que no parece del mismo evento.</w:t>
      </w:r>
    </w:p>
    <w:p>
      <w:pPr>
        <w:pStyle w:val="BodyText"/>
      </w:pPr>
      <w:r>
        <w:t xml:space="preserve">La prioridad absoluta es el embudo de registro (acciones 1–4 y 9–11): cada día con el botón apagado y el salto a Helice sin explicar son inscripciones perdidas. En paralelo, una única fuente de verdad para fechas y nombres (acciones 5, 6 y 9) eliminará la sensación de</w:t>
      </w:r>
      <w:r>
        <w:t xml:space="preserve"> </w:t>
      </w:r>
      <w:r>
        <w:t xml:space="preserve">“</w:t>
      </w:r>
      <w:r>
        <w:t xml:space="preserve">mezcla</w:t>
      </w:r>
      <w:r>
        <w:t xml:space="preserve">”</w:t>
      </w:r>
      <w:r>
        <w:t xml:space="preserve"> </w:t>
      </w:r>
      <w:r>
        <w:t xml:space="preserve">que os trasladan. Con las quick wins de la primera tabla, la percepción del sitio cambiaría de forma notable en dos semanas.</w:t>
      </w:r>
    </w:p>
    <w:p>
      <w:r>
        <w:pict>
          <v:rect style="width:0;height:1.5pt" o:hralign="center" o:hrstd="t" o:hr="t"/>
        </w:pict>
      </w:r>
    </w:p>
    <w:p>
      <w:pPr>
        <w:pStyle w:val="FirstParagraph"/>
      </w:pPr>
      <w:r>
        <w:rPr>
          <w:iCs/>
          <w:i/>
        </w:rPr>
        <w:t xml:space="preserve">Informe elaborado a partir de la revisión completa del sitio (home, registro, programa, temas, workshops, visitas técnicas, speakers, keynote speakers, sponsors, plan-your-stay, blog, newsletters y política de privacidad), con verificación interactiva del flujo de registro hasta la plataforma Helice, el 29 de julio de 2026.</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2026-07-29T14:22:55Z</dcterms:created>
  <dcterms:modified xsi:type="dcterms:W3CDTF">2026-07-29T14:22:55Z</dcterms:modified>
</cp:coreProperties>
</file>

<file path=docProps/custom.xml><?xml version="1.0" encoding="utf-8"?>
<Properties xmlns="http://schemas.openxmlformats.org/officeDocument/2006/custom-properties" xmlns:vt="http://schemas.openxmlformats.org/officeDocument/2006/docPropsVTypes"/>
</file>