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du projet immobilier</w:t>
      </w:r>
    </w:p>
    <w:p>
      <w:pPr>
        <w:spacing w:after="360"/>
      </w:pPr>
      <w:r>
        <w:rPr>
          <w:b/>
          <w:color w:val="24465B"/>
          <w:sz w:val="30"/>
        </w:rPr>
        <w:t>Plateforme d’aide à la décision pour propriétaires</w:t>
      </w:r>
    </w:p>
    <w:p>
      <w:r>
        <w:t>Document de cadrage initial — version 1.0 — 2 octobre 2026</w:t>
      </w:r>
    </w:p>
    <w:p>
      <w:r>
        <w:t>Projet : réunir des outils simples pour aider les propriétaires à comprendre les options liées à leur bien : louer en meublé sous le régime LMNP, rénover un logement énergivore ou envisager sa vente.</w:t>
      </w:r>
    </w:p>
    <w:p>
      <w:pPr>
        <w:pStyle w:val="Heading1"/>
      </w:pPr>
      <w:r>
        <w:t>Résumé du projet</w:t>
      </w:r>
    </w:p>
    <w:p>
      <w:r>
        <w:t>Le projet consiste à créer un site web, utilisable sur téléphone et ordinateur, qui transforme des informations immobilières et financières en scénarios compréhensibles. Le premier lancement doit réunir deux parcours : un simulateur LMNP et un comparateur rénovation ou vente pour les logements mal classés au DPE. Chaque résultat doit rendre visibles les hypothèses, les coûts, les échéances et les limites du calcul.</w:t>
      </w:r>
    </w:p>
    <w:p>
      <w:r>
        <w:t>La note fournie décrit déjà un prototype pour comparer rénovation et vente, avec aides, financement et revenus locatifs. Elle signale à juste titre que la décote de marché, le loyer après travaux et certains plafonds d’aides doivent être calibrés et vérifiés.</w:t>
      </w:r>
    </w:p>
    <w:p>
      <w:pPr>
        <w:pStyle w:val="Heading2"/>
      </w:pPr>
      <w:r>
        <w:t>Décision de départ recommandée</w:t>
      </w:r>
    </w:p>
    <w:p>
      <w:r>
        <w:t>Lancer d’abord un MVP de simulation et de rapport exportable, sans compte obligatoire et sans promesse de conseil fiscal, juridique ou de travaux. Les calculs détaillés, la mise en relation commerciale et l’espace propriétaire pourront venir après validation auprès de vrais utilisateurs et de professionnels.</w:t>
      </w:r>
    </w:p>
    <w:p>
      <w:pPr>
        <w:pStyle w:val="Heading1"/>
      </w:pPr>
      <w:r>
        <w:t>1. Vision, objectifs et périmètre</w:t>
      </w:r>
    </w:p>
    <w:p>
      <w:pPr>
        <w:pStyle w:val="Heading2"/>
      </w:pPr>
      <w:r>
        <w:t>Objectif</w:t>
      </w:r>
    </w:p>
    <w:p>
      <w:r>
        <w:t>Aider un propriétaire à répondre à une question concrète : « Quelles options ai-je pour ce logement, quels montants et échéances dois-je comparer, et quelles informations me manquent pour décider ? »</w:t>
      </w:r>
    </w:p>
    <w:p>
      <w:pPr>
        <w:pStyle w:val="Heading2"/>
      </w:pPr>
      <w:r>
        <w:t>Objectifs du premier produit</w:t>
      </w:r>
    </w:p>
    <w:p>
      <w:pPr>
        <w:pStyle w:val="ListBullet"/>
      </w:pPr>
      <w:r>
        <w:t>Présenter deux simulateurs cohérents dans un même espace.</w:t>
      </w:r>
    </w:p>
    <w:p>
      <w:pPr>
        <w:pStyle w:val="ListBullet"/>
      </w:pPr>
      <w:r>
        <w:t>Permettre une première estimation guidée en quelques minutes.</w:t>
      </w:r>
    </w:p>
    <w:p>
      <w:pPr>
        <w:pStyle w:val="ListBullet"/>
      </w:pPr>
      <w:r>
        <w:t>Comparer des scénarios avec des hypothèses modifiables et explicitement affichées.</w:t>
      </w:r>
    </w:p>
    <w:p>
      <w:pPr>
        <w:pStyle w:val="ListBullet"/>
      </w:pPr>
      <w:r>
        <w:t>Produire un résumé partageable ou téléchargeable pour préparer un échange avec un expert.</w:t>
      </w:r>
    </w:p>
    <w:p>
      <w:pPr>
        <w:pStyle w:val="ListBullet"/>
      </w:pPr>
      <w:r>
        <w:t>Mesurer si les utilisateurs comprennent les résultats et terminent leur simulation.</w:t>
      </w:r>
    </w:p>
    <w:p>
      <w:pPr>
        <w:pStyle w:val="Heading2"/>
      </w:pPr>
      <w:r>
        <w:t>Hors périmètre du MVP</w:t>
      </w:r>
    </w:p>
    <w:p>
      <w:pPr>
        <w:pStyle w:val="ListBullet"/>
      </w:pPr>
      <w:r>
        <w:t>Avis fiscal, juridique, valeur vénale garantie ou diagnostic énergétique.</w:t>
      </w:r>
    </w:p>
    <w:p>
      <w:pPr>
        <w:pStyle w:val="ListBullet"/>
      </w:pPr>
      <w:r>
        <w:t>Calcul automatique garanti des aides sans contrôle des critères en vigueur.</w:t>
      </w:r>
    </w:p>
    <w:p>
      <w:pPr>
        <w:pStyle w:val="ListBullet"/>
      </w:pPr>
      <w:r>
        <w:t>Dépôt de dossier d’aide, demande de prêt, signature de mandat ou transaction.</w:t>
      </w:r>
    </w:p>
    <w:p>
      <w:pPr>
        <w:pStyle w:val="ListBullet"/>
      </w:pPr>
      <w:r>
        <w:t>Collecte obligatoire de pièces d’identité, avis d’imposition ou coordonnées bancaires.</w:t>
      </w:r>
    </w:p>
    <w:p>
      <w:pPr>
        <w:pStyle w:val="ListBullet"/>
      </w:pPr>
      <w:r>
        <w:t>Prédiction d’une classe DPE sans audit ou DPE officiel.</w:t>
      </w:r>
    </w:p>
    <w:p>
      <w:pPr>
        <w:pStyle w:val="Heading1"/>
      </w:pPr>
      <w:r>
        <w:t>2. Publics et besoins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4465B"/>
            <w:tcMar>
              <w:top w:w="95" w:type="dxa"/>
              <w:start w:w="95" w:type="dxa"/>
              <w:bottom w:w="95" w:type="dxa"/>
              <w:end w:w="95" w:type="dxa"/>
            </w:tcMar>
          </w:tcPr>
          <w:p>
            <w:pPr>
              <w:spacing w:after="0"/>
            </w:pPr>
            <w:r/>
            <w:r>
              <w:rPr>
                <w:b/>
                <w:color w:val="FFFFFF"/>
                <w:sz w:val="18"/>
              </w:rPr>
              <w:t>Public</w:t>
            </w:r>
          </w:p>
        </w:tc>
        <w:tc>
          <w:tcPr>
            <w:tcW w:type="dxa" w:w="3331"/>
            <w:vAlign w:val="center"/>
            <w:shd w:fill="24465B"/>
            <w:tcMar>
              <w:top w:w="95" w:type="dxa"/>
              <w:start w:w="95" w:type="dxa"/>
              <w:bottom w:w="95" w:type="dxa"/>
              <w:end w:w="95" w:type="dxa"/>
            </w:tcMar>
          </w:tcPr>
          <w:p>
            <w:pPr>
              <w:spacing w:after="0"/>
            </w:pPr>
            <w:r/>
            <w:r>
              <w:rPr>
                <w:b/>
                <w:color w:val="FFFFFF"/>
                <w:sz w:val="18"/>
              </w:rPr>
              <w:t>Besoin principal</w:t>
            </w:r>
          </w:p>
        </w:tc>
        <w:tc>
          <w:tcPr>
            <w:tcW w:type="dxa" w:w="3331"/>
            <w:vAlign w:val="center"/>
            <w:shd w:fill="24465B"/>
            <w:tcMar>
              <w:top w:w="95" w:type="dxa"/>
              <w:start w:w="95" w:type="dxa"/>
              <w:bottom w:w="95" w:type="dxa"/>
              <w:end w:w="95" w:type="dxa"/>
            </w:tcMar>
          </w:tcPr>
          <w:p>
            <w:pPr>
              <w:spacing w:after="0"/>
            </w:pPr>
            <w:r/>
            <w:r>
              <w:rPr>
                <w:b/>
                <w:color w:val="FFFFFF"/>
                <w:sz w:val="18"/>
              </w:rPr>
              <w:t>Réponse produit</w:t>
            </w:r>
          </w:p>
        </w:tc>
      </w:tr>
      <w:tr>
        <w:tc>
          <w:tcPr>
            <w:tcW w:type="dxa" w:w="3331"/>
            <w:vAlign w:val="center"/>
            <w:shd w:fill="F1F5F7"/>
            <w:tcMar>
              <w:top w:w="95" w:type="dxa"/>
              <w:start w:w="95" w:type="dxa"/>
              <w:bottom w:w="95" w:type="dxa"/>
              <w:end w:w="95" w:type="dxa"/>
            </w:tcMar>
          </w:tcPr>
          <w:p>
            <w:pPr>
              <w:spacing w:after="0"/>
            </w:pPr>
            <w:r/>
            <w:r>
              <w:rPr>
                <w:b w:val="0"/>
                <w:sz w:val="17"/>
              </w:rPr>
              <w:t>Propriétaire bailleur d’un logement ancien</w:t>
            </w:r>
          </w:p>
        </w:tc>
        <w:tc>
          <w:tcPr>
            <w:tcW w:type="dxa" w:w="3331"/>
            <w:vAlign w:val="center"/>
            <w:shd w:fill="F1F5F7"/>
            <w:tcMar>
              <w:top w:w="95" w:type="dxa"/>
              <w:start w:w="95" w:type="dxa"/>
              <w:bottom w:w="95" w:type="dxa"/>
              <w:end w:w="95" w:type="dxa"/>
            </w:tcMar>
          </w:tcPr>
          <w:p>
            <w:pPr>
              <w:spacing w:after="0"/>
            </w:pPr>
            <w:r/>
            <w:r>
              <w:rPr>
                <w:b w:val="0"/>
                <w:sz w:val="17"/>
              </w:rPr>
              <w:t>Savoir s’il peut continuer à louer et à quelle échéance agir.</w:t>
            </w:r>
          </w:p>
        </w:tc>
        <w:tc>
          <w:tcPr>
            <w:tcW w:type="dxa" w:w="3331"/>
            <w:vAlign w:val="center"/>
            <w:shd w:fill="F1F5F7"/>
            <w:tcMar>
              <w:top w:w="95" w:type="dxa"/>
              <w:start w:w="95" w:type="dxa"/>
              <w:bottom w:w="95" w:type="dxa"/>
              <w:end w:w="95" w:type="dxa"/>
            </w:tcMar>
          </w:tcPr>
          <w:p>
            <w:pPr>
              <w:spacing w:after="0"/>
            </w:pPr>
            <w:r/>
            <w:r>
              <w:rPr>
                <w:b w:val="0"/>
                <w:sz w:val="17"/>
              </w:rPr>
              <w:t>Alerte réglementaire contextualisée, calendrier et options.</w:t>
            </w:r>
          </w:p>
        </w:tc>
      </w:tr>
      <w:tr>
        <w:tc>
          <w:tcPr>
            <w:tcW w:type="dxa" w:w="3331"/>
            <w:vAlign w:val="center"/>
            <w:tcMar>
              <w:top w:w="95" w:type="dxa"/>
              <w:start w:w="95" w:type="dxa"/>
              <w:bottom w:w="95" w:type="dxa"/>
              <w:end w:w="95" w:type="dxa"/>
            </w:tcMar>
          </w:tcPr>
          <w:p>
            <w:pPr>
              <w:spacing w:after="0"/>
            </w:pPr>
            <w:r/>
            <w:r>
              <w:rPr>
                <w:b w:val="0"/>
                <w:sz w:val="17"/>
              </w:rPr>
              <w:t>Investisseur locatif ou futur bailleur</w:t>
            </w:r>
          </w:p>
        </w:tc>
        <w:tc>
          <w:tcPr>
            <w:tcW w:type="dxa" w:w="3331"/>
            <w:vAlign w:val="center"/>
            <w:tcMar>
              <w:top w:w="95" w:type="dxa"/>
              <w:start w:w="95" w:type="dxa"/>
              <w:bottom w:w="95" w:type="dxa"/>
              <w:end w:w="95" w:type="dxa"/>
            </w:tcMar>
          </w:tcPr>
          <w:p>
            <w:pPr>
              <w:spacing w:after="0"/>
            </w:pPr>
            <w:r/>
            <w:r>
              <w:rPr>
                <w:b w:val="0"/>
                <w:sz w:val="17"/>
              </w:rPr>
              <w:t>Comparer rendement, trésorerie et fiscalité LMNP.</w:t>
            </w:r>
          </w:p>
        </w:tc>
        <w:tc>
          <w:tcPr>
            <w:tcW w:type="dxa" w:w="3331"/>
            <w:vAlign w:val="center"/>
            <w:tcMar>
              <w:top w:w="95" w:type="dxa"/>
              <w:start w:w="95" w:type="dxa"/>
              <w:bottom w:w="95" w:type="dxa"/>
              <w:end w:w="95" w:type="dxa"/>
            </w:tcMar>
          </w:tcPr>
          <w:p>
            <w:pPr>
              <w:spacing w:after="0"/>
            </w:pPr>
            <w:r/>
            <w:r>
              <w:rPr>
                <w:b w:val="0"/>
                <w:sz w:val="17"/>
              </w:rPr>
              <w:t>Simulation indicative avec paramètres visibles.</w:t>
            </w:r>
          </w:p>
        </w:tc>
      </w:tr>
      <w:tr>
        <w:tc>
          <w:tcPr>
            <w:tcW w:type="dxa" w:w="3331"/>
            <w:vAlign w:val="center"/>
            <w:shd w:fill="F1F5F7"/>
            <w:tcMar>
              <w:top w:w="95" w:type="dxa"/>
              <w:start w:w="95" w:type="dxa"/>
              <w:bottom w:w="95" w:type="dxa"/>
              <w:end w:w="95" w:type="dxa"/>
            </w:tcMar>
          </w:tcPr>
          <w:p>
            <w:pPr>
              <w:spacing w:after="0"/>
            </w:pPr>
            <w:r/>
            <w:r>
              <w:rPr>
                <w:b w:val="0"/>
                <w:sz w:val="17"/>
              </w:rPr>
              <w:t>Propriétaire hésitant entre travaux et vente</w:t>
            </w:r>
          </w:p>
        </w:tc>
        <w:tc>
          <w:tcPr>
            <w:tcW w:type="dxa" w:w="3331"/>
            <w:vAlign w:val="center"/>
            <w:shd w:fill="F1F5F7"/>
            <w:tcMar>
              <w:top w:w="95" w:type="dxa"/>
              <w:start w:w="95" w:type="dxa"/>
              <w:bottom w:w="95" w:type="dxa"/>
              <w:end w:w="95" w:type="dxa"/>
            </w:tcMar>
          </w:tcPr>
          <w:p>
            <w:pPr>
              <w:spacing w:after="0"/>
            </w:pPr>
            <w:r/>
            <w:r>
              <w:rPr>
                <w:b w:val="0"/>
                <w:sz w:val="17"/>
              </w:rPr>
              <w:t>Comparer le coût net des travaux à une vente immédiate ou différée.</w:t>
            </w:r>
          </w:p>
        </w:tc>
        <w:tc>
          <w:tcPr>
            <w:tcW w:type="dxa" w:w="3331"/>
            <w:vAlign w:val="center"/>
            <w:shd w:fill="F1F5F7"/>
            <w:tcMar>
              <w:top w:w="95" w:type="dxa"/>
              <w:start w:w="95" w:type="dxa"/>
              <w:bottom w:w="95" w:type="dxa"/>
              <w:end w:w="95" w:type="dxa"/>
            </w:tcMar>
          </w:tcPr>
          <w:p>
            <w:pPr>
              <w:spacing w:after="0"/>
            </w:pPr>
            <w:r/>
            <w:r>
              <w:rPr>
                <w:b w:val="0"/>
                <w:sz w:val="17"/>
              </w:rPr>
              <w:t>Comparaison de scénarios sur une durée choisie.</w:t>
            </w:r>
          </w:p>
        </w:tc>
      </w:tr>
      <w:tr>
        <w:tc>
          <w:tcPr>
            <w:tcW w:type="dxa" w:w="3331"/>
            <w:vAlign w:val="center"/>
            <w:tcMar>
              <w:top w:w="95" w:type="dxa"/>
              <w:start w:w="95" w:type="dxa"/>
              <w:bottom w:w="95" w:type="dxa"/>
              <w:end w:w="95" w:type="dxa"/>
            </w:tcMar>
          </w:tcPr>
          <w:p>
            <w:pPr>
              <w:spacing w:after="0"/>
            </w:pPr>
            <w:r/>
            <w:r>
              <w:rPr>
                <w:b w:val="0"/>
                <w:sz w:val="17"/>
              </w:rPr>
              <w:t>Conseiller, comptable, agent ou artisan</w:t>
            </w:r>
          </w:p>
        </w:tc>
        <w:tc>
          <w:tcPr>
            <w:tcW w:type="dxa" w:w="3331"/>
            <w:vAlign w:val="center"/>
            <w:tcMar>
              <w:top w:w="95" w:type="dxa"/>
              <w:start w:w="95" w:type="dxa"/>
              <w:bottom w:w="95" w:type="dxa"/>
              <w:end w:w="95" w:type="dxa"/>
            </w:tcMar>
          </w:tcPr>
          <w:p>
            <w:pPr>
              <w:spacing w:after="0"/>
            </w:pPr>
            <w:r/>
            <w:r>
              <w:rPr>
                <w:b w:val="0"/>
                <w:sz w:val="17"/>
              </w:rPr>
              <w:t>Comprendre rapidement les hypothèses du propriétaire.</w:t>
            </w:r>
          </w:p>
        </w:tc>
        <w:tc>
          <w:tcPr>
            <w:tcW w:type="dxa" w:w="3331"/>
            <w:vAlign w:val="center"/>
            <w:tcMar>
              <w:top w:w="95" w:type="dxa"/>
              <w:start w:w="95" w:type="dxa"/>
              <w:bottom w:w="95" w:type="dxa"/>
              <w:end w:w="95" w:type="dxa"/>
            </w:tcMar>
          </w:tcPr>
          <w:p>
            <w:pPr>
              <w:spacing w:after="0"/>
            </w:pPr>
            <w:r/>
            <w:r>
              <w:rPr>
                <w:b w:val="0"/>
                <w:sz w:val="17"/>
              </w:rPr>
              <w:t>Rapport synthétique et exportable.</w:t>
            </w:r>
          </w:p>
        </w:tc>
      </w:tr>
    </w:tbl>
    <w:p>
      <w:pPr>
        <w:spacing w:after="20"/>
      </w:pPr>
    </w:p>
    <w:p>
      <w:pPr>
        <w:pStyle w:val="Heading1"/>
      </w:pPr>
      <w:r>
        <w:t>3. Parcours utilisateur</w:t>
      </w:r>
    </w:p>
    <w:p>
      <w:pPr>
        <w:pStyle w:val="Heading2"/>
      </w:pPr>
      <w:r>
        <w:t>Entrée dans le service</w:t>
      </w:r>
    </w:p>
    <w:p>
      <w:pPr>
        <w:pStyle w:val="ListBullet"/>
      </w:pPr>
      <w:r>
        <w:t>L’utilisateur choisit « Location meublée LMNP » ou « Logement énergivore : rénover ou vendre ».</w:t>
      </w:r>
    </w:p>
    <w:p>
      <w:pPr>
        <w:pStyle w:val="ListBullet"/>
      </w:pPr>
      <w:r>
        <w:t>Le site explique ce que le simulateur peut estimer et quelles données préparer.</w:t>
      </w:r>
    </w:p>
    <w:p>
      <w:pPr>
        <w:pStyle w:val="ListBullet"/>
      </w:pPr>
      <w:r>
        <w:t>Les données sont saisies étape par étape, avec exemples, aide contextuelle et possibilité de modifier les valeurs.</w:t>
      </w:r>
    </w:p>
    <w:p>
      <w:pPr>
        <w:pStyle w:val="ListBullet"/>
      </w:pPr>
      <w:r>
        <w:t>Le résultat présente une synthèse, les détails, les hypothèses et les prochaines démarches à vérifier.</w:t>
      </w:r>
    </w:p>
    <w:p>
      <w:pPr>
        <w:pStyle w:val="ListBullet"/>
      </w:pPr>
      <w:r>
        <w:t>L’utilisateur peut enregistrer ou exporter un rapport; le partage par courriel reste facultatif.</w:t>
      </w:r>
    </w:p>
    <w:p>
      <w:pPr>
        <w:pStyle w:val="Heading2"/>
      </w:pPr>
      <w:r>
        <w:t>Parcours passoire thermique</w:t>
      </w:r>
    </w:p>
    <w:p>
      <w:r>
        <w:t>Le propriétaire saisit localisation, usage du bien, DPE et date du diagnostic, surface, loyer et charges, valeur de vente estimée, travaux envisagés, aides envisagées, apport et financement. Le résultat compare au minimum : vente maintenant; rénovation puis location; et, si pertinent, rénovation puis vente. La sortie montre le coût brut, aides indicatives, coût restant, coût du financement, revenus et charges projetés, trésorerie, valeur retenue et écart entre scénarios.</w:t>
      </w:r>
    </w:p>
    <w:p>
      <w:pPr>
        <w:pStyle w:val="Heading2"/>
      </w:pPr>
      <w:r>
        <w:t>Parcours LMNP</w:t>
      </w:r>
    </w:p>
    <w:p>
      <w:r>
        <w:t>L’utilisateur renseigne prix d’achat et frais, travaux, mobilier, financement, loyer, vacance, charges, taxe foncière, frais de gestion et horizon. Le simulateur peut présenter recettes, charges, mensualités, cashflow et rendement brut/net, puis des scénarios fiscaux simplifiés. Le choix du régime fiscal et les amortissements doivent être clairement présentés comme une estimation à faire valider par un expert-comptable, car la situation dépend du foyer, de la réglementation et des détails comptables.</w:t>
      </w:r>
    </w:p>
    <w:p>
      <w:pPr>
        <w:pStyle w:val="Heading1"/>
      </w:pPr>
      <w:r>
        <w:t>4. Fonctionnalités du MVP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24465B"/>
            <w:tcMar>
              <w:top w:w="95" w:type="dxa"/>
              <w:start w:w="95" w:type="dxa"/>
              <w:bottom w:w="95" w:type="dxa"/>
              <w:end w:w="95" w:type="dxa"/>
            </w:tcMar>
          </w:tcPr>
          <w:p>
            <w:pPr>
              <w:spacing w:after="0"/>
            </w:pPr>
            <w:r/>
            <w:r>
              <w:rPr>
                <w:b/>
                <w:color w:val="FFFFFF"/>
                <w:sz w:val="18"/>
              </w:rPr>
              <w:t>ID</w:t>
            </w:r>
          </w:p>
        </w:tc>
        <w:tc>
          <w:tcPr>
            <w:tcW w:type="dxa" w:w="2498"/>
            <w:vAlign w:val="center"/>
            <w:shd w:fill="24465B"/>
            <w:tcMar>
              <w:top w:w="95" w:type="dxa"/>
              <w:start w:w="95" w:type="dxa"/>
              <w:bottom w:w="95" w:type="dxa"/>
              <w:end w:w="95" w:type="dxa"/>
            </w:tcMar>
          </w:tcPr>
          <w:p>
            <w:pPr>
              <w:spacing w:after="0"/>
            </w:pPr>
            <w:r/>
            <w:r>
              <w:rPr>
                <w:b/>
                <w:color w:val="FFFFFF"/>
                <w:sz w:val="18"/>
              </w:rPr>
              <w:t>Fonction</w:t>
            </w:r>
          </w:p>
        </w:tc>
        <w:tc>
          <w:tcPr>
            <w:tcW w:type="dxa" w:w="2498"/>
            <w:vAlign w:val="center"/>
            <w:shd w:fill="24465B"/>
            <w:tcMar>
              <w:top w:w="95" w:type="dxa"/>
              <w:start w:w="95" w:type="dxa"/>
              <w:bottom w:w="95" w:type="dxa"/>
              <w:end w:w="95" w:type="dxa"/>
            </w:tcMar>
          </w:tcPr>
          <w:p>
            <w:pPr>
              <w:spacing w:after="0"/>
            </w:pPr>
            <w:r/>
            <w:r>
              <w:rPr>
                <w:b/>
                <w:color w:val="FFFFFF"/>
                <w:sz w:val="18"/>
              </w:rPr>
              <w:t>Priorité</w:t>
            </w:r>
          </w:p>
        </w:tc>
        <w:tc>
          <w:tcPr>
            <w:tcW w:type="dxa" w:w="2498"/>
            <w:vAlign w:val="center"/>
            <w:shd w:fill="24465B"/>
            <w:tcMar>
              <w:top w:w="95" w:type="dxa"/>
              <w:start w:w="95" w:type="dxa"/>
              <w:bottom w:w="95" w:type="dxa"/>
              <w:end w:w="95" w:type="dxa"/>
            </w:tcMar>
          </w:tcPr>
          <w:p>
            <w:pPr>
              <w:spacing w:after="0"/>
            </w:pPr>
            <w:r/>
            <w:r>
              <w:rPr>
                <w:b/>
                <w:color w:val="FFFFFF"/>
                <w:sz w:val="18"/>
              </w:rPr>
              <w:t>Critère d’acceptation</w:t>
            </w:r>
          </w:p>
        </w:tc>
      </w:tr>
      <w:tr>
        <w:tc>
          <w:tcPr>
            <w:tcW w:type="dxa" w:w="2498"/>
            <w:vAlign w:val="center"/>
            <w:shd w:fill="F1F5F7"/>
            <w:tcMar>
              <w:top w:w="95" w:type="dxa"/>
              <w:start w:w="95" w:type="dxa"/>
              <w:bottom w:w="95" w:type="dxa"/>
              <w:end w:w="95" w:type="dxa"/>
            </w:tcMar>
          </w:tcPr>
          <w:p>
            <w:pPr>
              <w:spacing w:after="0"/>
            </w:pPr>
            <w:r/>
            <w:r>
              <w:rPr>
                <w:b w:val="0"/>
                <w:sz w:val="17"/>
              </w:rPr>
              <w:t>F01</w:t>
            </w:r>
          </w:p>
        </w:tc>
        <w:tc>
          <w:tcPr>
            <w:tcW w:type="dxa" w:w="2498"/>
            <w:vAlign w:val="center"/>
            <w:shd w:fill="F1F5F7"/>
            <w:tcMar>
              <w:top w:w="95" w:type="dxa"/>
              <w:start w:w="95" w:type="dxa"/>
              <w:bottom w:w="95" w:type="dxa"/>
              <w:end w:w="95" w:type="dxa"/>
            </w:tcMar>
          </w:tcPr>
          <w:p>
            <w:pPr>
              <w:spacing w:after="0"/>
            </w:pPr>
            <w:r/>
            <w:r>
              <w:rPr>
                <w:b w:val="0"/>
                <w:sz w:val="17"/>
              </w:rPr>
              <w:t>Page d’accueil avec accès aux deux outils</w:t>
            </w:r>
          </w:p>
        </w:tc>
        <w:tc>
          <w:tcPr>
            <w:tcW w:type="dxa" w:w="2498"/>
            <w:vAlign w:val="center"/>
            <w:shd w:fill="F1F5F7"/>
            <w:tcMar>
              <w:top w:w="95" w:type="dxa"/>
              <w:start w:w="95" w:type="dxa"/>
              <w:bottom w:w="95" w:type="dxa"/>
              <w:end w:w="95" w:type="dxa"/>
            </w:tcMar>
          </w:tcPr>
          <w:p>
            <w:pPr>
              <w:spacing w:after="0"/>
            </w:pPr>
            <w:r/>
            <w:r>
              <w:rPr>
                <w:b w:val="0"/>
                <w:sz w:val="17"/>
              </w:rPr>
              <w:t>Must</w:t>
            </w:r>
          </w:p>
        </w:tc>
        <w:tc>
          <w:tcPr>
            <w:tcW w:type="dxa" w:w="2498"/>
            <w:vAlign w:val="center"/>
            <w:shd w:fill="F1F5F7"/>
            <w:tcMar>
              <w:top w:w="95" w:type="dxa"/>
              <w:start w:w="95" w:type="dxa"/>
              <w:bottom w:w="95" w:type="dxa"/>
              <w:end w:w="95" w:type="dxa"/>
            </w:tcMar>
          </w:tcPr>
          <w:p>
            <w:pPr>
              <w:spacing w:after="0"/>
            </w:pPr>
            <w:r/>
            <w:r>
              <w:rPr>
                <w:b w:val="0"/>
                <w:sz w:val="17"/>
              </w:rPr>
              <w:t>Chaque outil est décrit en langage simple avec son public et ses limites.</w:t>
            </w:r>
          </w:p>
        </w:tc>
      </w:tr>
      <w:tr>
        <w:tc>
          <w:tcPr>
            <w:tcW w:type="dxa" w:w="2498"/>
            <w:vAlign w:val="center"/>
            <w:tcMar>
              <w:top w:w="95" w:type="dxa"/>
              <w:start w:w="95" w:type="dxa"/>
              <w:bottom w:w="95" w:type="dxa"/>
              <w:end w:w="95" w:type="dxa"/>
            </w:tcMar>
          </w:tcPr>
          <w:p>
            <w:pPr>
              <w:spacing w:after="0"/>
            </w:pPr>
            <w:r/>
            <w:r>
              <w:rPr>
                <w:b w:val="0"/>
                <w:sz w:val="17"/>
              </w:rPr>
              <w:t>F02</w:t>
            </w:r>
          </w:p>
        </w:tc>
        <w:tc>
          <w:tcPr>
            <w:tcW w:type="dxa" w:w="2498"/>
            <w:vAlign w:val="center"/>
            <w:tcMar>
              <w:top w:w="95" w:type="dxa"/>
              <w:start w:w="95" w:type="dxa"/>
              <w:bottom w:w="95" w:type="dxa"/>
              <w:end w:w="95" w:type="dxa"/>
            </w:tcMar>
          </w:tcPr>
          <w:p>
            <w:pPr>
              <w:spacing w:after="0"/>
            </w:pPr>
            <w:r/>
            <w:r>
              <w:rPr>
                <w:b w:val="0"/>
                <w:sz w:val="17"/>
              </w:rPr>
              <w:t>Questionnaire progressif adapté au simulateur choisi</w:t>
            </w:r>
          </w:p>
        </w:tc>
        <w:tc>
          <w:tcPr>
            <w:tcW w:type="dxa" w:w="2498"/>
            <w:vAlign w:val="center"/>
            <w:tcMar>
              <w:top w:w="95" w:type="dxa"/>
              <w:start w:w="95" w:type="dxa"/>
              <w:bottom w:w="95" w:type="dxa"/>
              <w:end w:w="95" w:type="dxa"/>
            </w:tcMar>
          </w:tcPr>
          <w:p>
            <w:pPr>
              <w:spacing w:after="0"/>
            </w:pPr>
            <w:r/>
            <w:r>
              <w:rPr>
                <w:b w:val="0"/>
                <w:sz w:val="17"/>
              </w:rPr>
              <w:t>Must</w:t>
            </w:r>
          </w:p>
        </w:tc>
        <w:tc>
          <w:tcPr>
            <w:tcW w:type="dxa" w:w="2498"/>
            <w:vAlign w:val="center"/>
            <w:tcMar>
              <w:top w:w="95" w:type="dxa"/>
              <w:start w:w="95" w:type="dxa"/>
              <w:bottom w:w="95" w:type="dxa"/>
              <w:end w:w="95" w:type="dxa"/>
            </w:tcMar>
          </w:tcPr>
          <w:p>
            <w:pPr>
              <w:spacing w:after="0"/>
            </w:pPr>
            <w:r/>
            <w:r>
              <w:rPr>
                <w:b w:val="0"/>
                <w:sz w:val="17"/>
              </w:rPr>
              <w:t>L’utilisateur peut revenir en arrière et corriger les entrées.</w:t>
            </w:r>
          </w:p>
        </w:tc>
      </w:tr>
      <w:tr>
        <w:tc>
          <w:tcPr>
            <w:tcW w:type="dxa" w:w="2498"/>
            <w:vAlign w:val="center"/>
            <w:shd w:fill="F1F5F7"/>
            <w:tcMar>
              <w:top w:w="95" w:type="dxa"/>
              <w:start w:w="95" w:type="dxa"/>
              <w:bottom w:w="95" w:type="dxa"/>
              <w:end w:w="95" w:type="dxa"/>
            </w:tcMar>
          </w:tcPr>
          <w:p>
            <w:pPr>
              <w:spacing w:after="0"/>
            </w:pPr>
            <w:r/>
            <w:r>
              <w:rPr>
                <w:b w:val="0"/>
                <w:sz w:val="17"/>
              </w:rPr>
              <w:t>F03</w:t>
            </w:r>
          </w:p>
        </w:tc>
        <w:tc>
          <w:tcPr>
            <w:tcW w:type="dxa" w:w="2498"/>
            <w:vAlign w:val="center"/>
            <w:shd w:fill="F1F5F7"/>
            <w:tcMar>
              <w:top w:w="95" w:type="dxa"/>
              <w:start w:w="95" w:type="dxa"/>
              <w:bottom w:w="95" w:type="dxa"/>
              <w:end w:w="95" w:type="dxa"/>
            </w:tcMar>
          </w:tcPr>
          <w:p>
            <w:pPr>
              <w:spacing w:after="0"/>
            </w:pPr>
            <w:r/>
            <w:r>
              <w:rPr>
                <w:b w:val="0"/>
                <w:sz w:val="17"/>
              </w:rPr>
              <w:t>Contrôle de cohérence des données</w:t>
            </w:r>
          </w:p>
        </w:tc>
        <w:tc>
          <w:tcPr>
            <w:tcW w:type="dxa" w:w="2498"/>
            <w:vAlign w:val="center"/>
            <w:shd w:fill="F1F5F7"/>
            <w:tcMar>
              <w:top w:w="95" w:type="dxa"/>
              <w:start w:w="95" w:type="dxa"/>
              <w:bottom w:w="95" w:type="dxa"/>
              <w:end w:w="95" w:type="dxa"/>
            </w:tcMar>
          </w:tcPr>
          <w:p>
            <w:pPr>
              <w:spacing w:after="0"/>
            </w:pPr>
            <w:r/>
            <w:r>
              <w:rPr>
                <w:b w:val="0"/>
                <w:sz w:val="17"/>
              </w:rPr>
              <w:t>Must</w:t>
            </w:r>
          </w:p>
        </w:tc>
        <w:tc>
          <w:tcPr>
            <w:tcW w:type="dxa" w:w="2498"/>
            <w:vAlign w:val="center"/>
            <w:shd w:fill="F1F5F7"/>
            <w:tcMar>
              <w:top w:w="95" w:type="dxa"/>
              <w:start w:w="95" w:type="dxa"/>
              <w:bottom w:w="95" w:type="dxa"/>
              <w:end w:w="95" w:type="dxa"/>
            </w:tcMar>
          </w:tcPr>
          <w:p>
            <w:pPr>
              <w:spacing w:after="0"/>
            </w:pPr>
            <w:r/>
            <w:r>
              <w:rPr>
                <w:b w:val="0"/>
                <w:sz w:val="17"/>
              </w:rPr>
              <w:t>Les champs requis, valeurs impossibles et unités sont signalés.</w:t>
            </w:r>
          </w:p>
        </w:tc>
      </w:tr>
      <w:tr>
        <w:tc>
          <w:tcPr>
            <w:tcW w:type="dxa" w:w="2498"/>
            <w:vAlign w:val="center"/>
            <w:tcMar>
              <w:top w:w="95" w:type="dxa"/>
              <w:start w:w="95" w:type="dxa"/>
              <w:bottom w:w="95" w:type="dxa"/>
              <w:end w:w="95" w:type="dxa"/>
            </w:tcMar>
          </w:tcPr>
          <w:p>
            <w:pPr>
              <w:spacing w:after="0"/>
            </w:pPr>
            <w:r/>
            <w:r>
              <w:rPr>
                <w:b w:val="0"/>
                <w:sz w:val="17"/>
              </w:rPr>
              <w:t>F04</w:t>
            </w:r>
          </w:p>
        </w:tc>
        <w:tc>
          <w:tcPr>
            <w:tcW w:type="dxa" w:w="2498"/>
            <w:vAlign w:val="center"/>
            <w:tcMar>
              <w:top w:w="95" w:type="dxa"/>
              <w:start w:w="95" w:type="dxa"/>
              <w:bottom w:w="95" w:type="dxa"/>
              <w:end w:w="95" w:type="dxa"/>
            </w:tcMar>
          </w:tcPr>
          <w:p>
            <w:pPr>
              <w:spacing w:after="0"/>
            </w:pPr>
            <w:r/>
            <w:r>
              <w:rPr>
                <w:b w:val="0"/>
                <w:sz w:val="17"/>
              </w:rPr>
              <w:t>Comparaison de scénarios</w:t>
            </w:r>
          </w:p>
        </w:tc>
        <w:tc>
          <w:tcPr>
            <w:tcW w:type="dxa" w:w="2498"/>
            <w:vAlign w:val="center"/>
            <w:tcMar>
              <w:top w:w="95" w:type="dxa"/>
              <w:start w:w="95" w:type="dxa"/>
              <w:bottom w:w="95" w:type="dxa"/>
              <w:end w:w="95" w:type="dxa"/>
            </w:tcMar>
          </w:tcPr>
          <w:p>
            <w:pPr>
              <w:spacing w:after="0"/>
            </w:pPr>
            <w:r/>
            <w:r>
              <w:rPr>
                <w:b w:val="0"/>
                <w:sz w:val="17"/>
              </w:rPr>
              <w:t>Must</w:t>
            </w:r>
          </w:p>
        </w:tc>
        <w:tc>
          <w:tcPr>
            <w:tcW w:type="dxa" w:w="2498"/>
            <w:vAlign w:val="center"/>
            <w:tcMar>
              <w:top w:w="95" w:type="dxa"/>
              <w:start w:w="95" w:type="dxa"/>
              <w:bottom w:w="95" w:type="dxa"/>
              <w:end w:w="95" w:type="dxa"/>
            </w:tcMar>
          </w:tcPr>
          <w:p>
            <w:pPr>
              <w:spacing w:after="0"/>
            </w:pPr>
            <w:r/>
            <w:r>
              <w:rPr>
                <w:b w:val="0"/>
                <w:sz w:val="17"/>
              </w:rPr>
              <w:t>Au moins deux scénarios peuvent être comparés sur la même durée.</w:t>
            </w:r>
          </w:p>
        </w:tc>
      </w:tr>
      <w:tr>
        <w:tc>
          <w:tcPr>
            <w:tcW w:type="dxa" w:w="2498"/>
            <w:vAlign w:val="center"/>
            <w:shd w:fill="F1F5F7"/>
            <w:tcMar>
              <w:top w:w="95" w:type="dxa"/>
              <w:start w:w="95" w:type="dxa"/>
              <w:bottom w:w="95" w:type="dxa"/>
              <w:end w:w="95" w:type="dxa"/>
            </w:tcMar>
          </w:tcPr>
          <w:p>
            <w:pPr>
              <w:spacing w:after="0"/>
            </w:pPr>
            <w:r/>
            <w:r>
              <w:rPr>
                <w:b w:val="0"/>
                <w:sz w:val="17"/>
              </w:rPr>
              <w:t>F05</w:t>
            </w:r>
          </w:p>
        </w:tc>
        <w:tc>
          <w:tcPr>
            <w:tcW w:type="dxa" w:w="2498"/>
            <w:vAlign w:val="center"/>
            <w:shd w:fill="F1F5F7"/>
            <w:tcMar>
              <w:top w:w="95" w:type="dxa"/>
              <w:start w:w="95" w:type="dxa"/>
              <w:bottom w:w="95" w:type="dxa"/>
              <w:end w:w="95" w:type="dxa"/>
            </w:tcMar>
          </w:tcPr>
          <w:p>
            <w:pPr>
              <w:spacing w:after="0"/>
            </w:pPr>
            <w:r/>
            <w:r>
              <w:rPr>
                <w:b w:val="0"/>
                <w:sz w:val="17"/>
              </w:rPr>
              <w:t>Détail des hypothèses et calculs</w:t>
            </w:r>
          </w:p>
        </w:tc>
        <w:tc>
          <w:tcPr>
            <w:tcW w:type="dxa" w:w="2498"/>
            <w:vAlign w:val="center"/>
            <w:shd w:fill="F1F5F7"/>
            <w:tcMar>
              <w:top w:w="95" w:type="dxa"/>
              <w:start w:w="95" w:type="dxa"/>
              <w:bottom w:w="95" w:type="dxa"/>
              <w:end w:w="95" w:type="dxa"/>
            </w:tcMar>
          </w:tcPr>
          <w:p>
            <w:pPr>
              <w:spacing w:after="0"/>
            </w:pPr>
            <w:r/>
            <w:r>
              <w:rPr>
                <w:b w:val="0"/>
                <w:sz w:val="17"/>
              </w:rPr>
              <w:t>Must</w:t>
            </w:r>
          </w:p>
        </w:tc>
        <w:tc>
          <w:tcPr>
            <w:tcW w:type="dxa" w:w="2498"/>
            <w:vAlign w:val="center"/>
            <w:shd w:fill="F1F5F7"/>
            <w:tcMar>
              <w:top w:w="95" w:type="dxa"/>
              <w:start w:w="95" w:type="dxa"/>
              <w:bottom w:w="95" w:type="dxa"/>
              <w:end w:w="95" w:type="dxa"/>
            </w:tcMar>
          </w:tcPr>
          <w:p>
            <w:pPr>
              <w:spacing w:after="0"/>
            </w:pPr>
            <w:r/>
            <w:r>
              <w:rPr>
                <w:b w:val="0"/>
                <w:sz w:val="17"/>
              </w:rPr>
              <w:t>Chaque valeur calculée peut être reliée à une entrée ou une hypothèse affichée.</w:t>
            </w:r>
          </w:p>
        </w:tc>
      </w:tr>
      <w:tr>
        <w:tc>
          <w:tcPr>
            <w:tcW w:type="dxa" w:w="2498"/>
            <w:vAlign w:val="center"/>
            <w:tcMar>
              <w:top w:w="95" w:type="dxa"/>
              <w:start w:w="95" w:type="dxa"/>
              <w:bottom w:w="95" w:type="dxa"/>
              <w:end w:w="95" w:type="dxa"/>
            </w:tcMar>
          </w:tcPr>
          <w:p>
            <w:pPr>
              <w:spacing w:after="0"/>
            </w:pPr>
            <w:r/>
            <w:r>
              <w:rPr>
                <w:b w:val="0"/>
                <w:sz w:val="17"/>
              </w:rPr>
              <w:t>F06</w:t>
            </w:r>
          </w:p>
        </w:tc>
        <w:tc>
          <w:tcPr>
            <w:tcW w:type="dxa" w:w="2498"/>
            <w:vAlign w:val="center"/>
            <w:tcMar>
              <w:top w:w="95" w:type="dxa"/>
              <w:start w:w="95" w:type="dxa"/>
              <w:bottom w:w="95" w:type="dxa"/>
              <w:end w:w="95" w:type="dxa"/>
            </w:tcMar>
          </w:tcPr>
          <w:p>
            <w:pPr>
              <w:spacing w:after="0"/>
            </w:pPr>
            <w:r/>
            <w:r>
              <w:rPr>
                <w:b w:val="0"/>
                <w:sz w:val="17"/>
              </w:rPr>
              <w:t>Alerte DPE et calendrier réglementaire</w:t>
            </w:r>
          </w:p>
        </w:tc>
        <w:tc>
          <w:tcPr>
            <w:tcW w:type="dxa" w:w="2498"/>
            <w:vAlign w:val="center"/>
            <w:tcMar>
              <w:top w:w="95" w:type="dxa"/>
              <w:start w:w="95" w:type="dxa"/>
              <w:bottom w:w="95" w:type="dxa"/>
              <w:end w:w="95" w:type="dxa"/>
            </w:tcMar>
          </w:tcPr>
          <w:p>
            <w:pPr>
              <w:spacing w:after="0"/>
            </w:pPr>
            <w:r/>
            <w:r>
              <w:rPr>
                <w:b w:val="0"/>
                <w:sz w:val="17"/>
              </w:rPr>
              <w:t>Must</w:t>
            </w:r>
          </w:p>
        </w:tc>
        <w:tc>
          <w:tcPr>
            <w:tcW w:type="dxa" w:w="2498"/>
            <w:vAlign w:val="center"/>
            <w:tcMar>
              <w:top w:w="95" w:type="dxa"/>
              <w:start w:w="95" w:type="dxa"/>
              <w:bottom w:w="95" w:type="dxa"/>
              <w:end w:w="95" w:type="dxa"/>
            </w:tcMar>
          </w:tcPr>
          <w:p>
            <w:pPr>
              <w:spacing w:after="0"/>
            </w:pPr>
            <w:r/>
            <w:r>
              <w:rPr>
                <w:b w:val="0"/>
                <w:sz w:val="17"/>
              </w:rPr>
              <w:t>L’alerte dépend de la classe, du territoire et de la date; source et date de mise à jour visibles.</w:t>
            </w:r>
          </w:p>
        </w:tc>
      </w:tr>
      <w:tr>
        <w:tc>
          <w:tcPr>
            <w:tcW w:type="dxa" w:w="2498"/>
            <w:vAlign w:val="center"/>
            <w:shd w:fill="F1F5F7"/>
            <w:tcMar>
              <w:top w:w="95" w:type="dxa"/>
              <w:start w:w="95" w:type="dxa"/>
              <w:bottom w:w="95" w:type="dxa"/>
              <w:end w:w="95" w:type="dxa"/>
            </w:tcMar>
          </w:tcPr>
          <w:p>
            <w:pPr>
              <w:spacing w:after="0"/>
            </w:pPr>
            <w:r/>
            <w:r>
              <w:rPr>
                <w:b w:val="0"/>
                <w:sz w:val="17"/>
              </w:rPr>
              <w:t>F07</w:t>
            </w:r>
          </w:p>
        </w:tc>
        <w:tc>
          <w:tcPr>
            <w:tcW w:type="dxa" w:w="2498"/>
            <w:vAlign w:val="center"/>
            <w:shd w:fill="F1F5F7"/>
            <w:tcMar>
              <w:top w:w="95" w:type="dxa"/>
              <w:start w:w="95" w:type="dxa"/>
              <w:bottom w:w="95" w:type="dxa"/>
              <w:end w:w="95" w:type="dxa"/>
            </w:tcMar>
          </w:tcPr>
          <w:p>
            <w:pPr>
              <w:spacing w:after="0"/>
            </w:pPr>
            <w:r/>
            <w:r>
              <w:rPr>
                <w:b w:val="0"/>
                <w:sz w:val="17"/>
              </w:rPr>
              <w:t>Rapport PDF ou impression</w:t>
            </w:r>
          </w:p>
        </w:tc>
        <w:tc>
          <w:tcPr>
            <w:tcW w:type="dxa" w:w="2498"/>
            <w:vAlign w:val="center"/>
            <w:shd w:fill="F1F5F7"/>
            <w:tcMar>
              <w:top w:w="95" w:type="dxa"/>
              <w:start w:w="95" w:type="dxa"/>
              <w:bottom w:w="95" w:type="dxa"/>
              <w:end w:w="95" w:type="dxa"/>
            </w:tcMar>
          </w:tcPr>
          <w:p>
            <w:pPr>
              <w:spacing w:after="0"/>
            </w:pPr>
            <w:r/>
            <w:r>
              <w:rPr>
                <w:b w:val="0"/>
                <w:sz w:val="17"/>
              </w:rPr>
              <w:t>Should</w:t>
            </w:r>
          </w:p>
        </w:tc>
        <w:tc>
          <w:tcPr>
            <w:tcW w:type="dxa" w:w="2498"/>
            <w:vAlign w:val="center"/>
            <w:shd w:fill="F1F5F7"/>
            <w:tcMar>
              <w:top w:w="95" w:type="dxa"/>
              <w:start w:w="95" w:type="dxa"/>
              <w:bottom w:w="95" w:type="dxa"/>
              <w:end w:w="95" w:type="dxa"/>
            </w:tcMar>
          </w:tcPr>
          <w:p>
            <w:pPr>
              <w:spacing w:after="0"/>
            </w:pPr>
            <w:r/>
            <w:r>
              <w:rPr>
                <w:b w:val="0"/>
                <w:sz w:val="17"/>
              </w:rPr>
              <w:t>Le document reprend entrées, hypothèses, résultats et avertissements.</w:t>
            </w:r>
          </w:p>
        </w:tc>
      </w:tr>
      <w:tr>
        <w:tc>
          <w:tcPr>
            <w:tcW w:type="dxa" w:w="2498"/>
            <w:vAlign w:val="center"/>
            <w:tcMar>
              <w:top w:w="95" w:type="dxa"/>
              <w:start w:w="95" w:type="dxa"/>
              <w:bottom w:w="95" w:type="dxa"/>
              <w:end w:w="95" w:type="dxa"/>
            </w:tcMar>
          </w:tcPr>
          <w:p>
            <w:pPr>
              <w:spacing w:after="0"/>
            </w:pPr>
            <w:r/>
            <w:r>
              <w:rPr>
                <w:b w:val="0"/>
                <w:sz w:val="17"/>
              </w:rPr>
              <w:t>F08</w:t>
            </w:r>
          </w:p>
        </w:tc>
        <w:tc>
          <w:tcPr>
            <w:tcW w:type="dxa" w:w="2498"/>
            <w:vAlign w:val="center"/>
            <w:tcMar>
              <w:top w:w="95" w:type="dxa"/>
              <w:start w:w="95" w:type="dxa"/>
              <w:bottom w:w="95" w:type="dxa"/>
              <w:end w:w="95" w:type="dxa"/>
            </w:tcMar>
          </w:tcPr>
          <w:p>
            <w:pPr>
              <w:spacing w:after="0"/>
            </w:pPr>
            <w:r/>
            <w:r>
              <w:rPr>
                <w:b w:val="0"/>
                <w:sz w:val="17"/>
              </w:rPr>
              <w:t>Sauvegarde locale ou compte facultatif</w:t>
            </w:r>
          </w:p>
        </w:tc>
        <w:tc>
          <w:tcPr>
            <w:tcW w:type="dxa" w:w="2498"/>
            <w:vAlign w:val="center"/>
            <w:tcMar>
              <w:top w:w="95" w:type="dxa"/>
              <w:start w:w="95" w:type="dxa"/>
              <w:bottom w:w="95" w:type="dxa"/>
              <w:end w:w="95" w:type="dxa"/>
            </w:tcMar>
          </w:tcPr>
          <w:p>
            <w:pPr>
              <w:spacing w:after="0"/>
            </w:pPr>
            <w:r/>
            <w:r>
              <w:rPr>
                <w:b w:val="0"/>
                <w:sz w:val="17"/>
              </w:rPr>
              <w:t>Could</w:t>
            </w:r>
          </w:p>
        </w:tc>
        <w:tc>
          <w:tcPr>
            <w:tcW w:type="dxa" w:w="2498"/>
            <w:vAlign w:val="center"/>
            <w:tcMar>
              <w:top w:w="95" w:type="dxa"/>
              <w:start w:w="95" w:type="dxa"/>
              <w:bottom w:w="95" w:type="dxa"/>
              <w:end w:w="95" w:type="dxa"/>
            </w:tcMar>
          </w:tcPr>
          <w:p>
            <w:pPr>
              <w:spacing w:after="0"/>
            </w:pPr>
            <w:r/>
            <w:r>
              <w:rPr>
                <w:b w:val="0"/>
                <w:sz w:val="17"/>
              </w:rPr>
              <w:t>L’utilisateur peut reprendre sa simulation avec contrôle clair des données conservées.</w:t>
            </w:r>
          </w:p>
        </w:tc>
      </w:tr>
      <w:tr>
        <w:tc>
          <w:tcPr>
            <w:tcW w:type="dxa" w:w="2498"/>
            <w:vAlign w:val="center"/>
            <w:shd w:fill="F1F5F7"/>
            <w:tcMar>
              <w:top w:w="95" w:type="dxa"/>
              <w:start w:w="95" w:type="dxa"/>
              <w:bottom w:w="95" w:type="dxa"/>
              <w:end w:w="95" w:type="dxa"/>
            </w:tcMar>
          </w:tcPr>
          <w:p>
            <w:pPr>
              <w:spacing w:after="0"/>
            </w:pPr>
            <w:r/>
            <w:r>
              <w:rPr>
                <w:b w:val="0"/>
                <w:sz w:val="17"/>
              </w:rPr>
              <w:t>F09</w:t>
            </w:r>
          </w:p>
        </w:tc>
        <w:tc>
          <w:tcPr>
            <w:tcW w:type="dxa" w:w="2498"/>
            <w:vAlign w:val="center"/>
            <w:shd w:fill="F1F5F7"/>
            <w:tcMar>
              <w:top w:w="95" w:type="dxa"/>
              <w:start w:w="95" w:type="dxa"/>
              <w:bottom w:w="95" w:type="dxa"/>
              <w:end w:w="95" w:type="dxa"/>
            </w:tcMar>
          </w:tcPr>
          <w:p>
            <w:pPr>
              <w:spacing w:after="0"/>
            </w:pPr>
            <w:r/>
            <w:r>
              <w:rPr>
                <w:b w:val="0"/>
                <w:sz w:val="17"/>
              </w:rPr>
              <w:t>Page ressources et prochaines démarches</w:t>
            </w:r>
          </w:p>
        </w:tc>
        <w:tc>
          <w:tcPr>
            <w:tcW w:type="dxa" w:w="2498"/>
            <w:vAlign w:val="center"/>
            <w:shd w:fill="F1F5F7"/>
            <w:tcMar>
              <w:top w:w="95" w:type="dxa"/>
              <w:start w:w="95" w:type="dxa"/>
              <w:bottom w:w="95" w:type="dxa"/>
              <w:end w:w="95" w:type="dxa"/>
            </w:tcMar>
          </w:tcPr>
          <w:p>
            <w:pPr>
              <w:spacing w:after="0"/>
            </w:pPr>
            <w:r/>
            <w:r>
              <w:rPr>
                <w:b w:val="0"/>
                <w:sz w:val="17"/>
              </w:rPr>
              <w:t>Should</w:t>
            </w:r>
          </w:p>
        </w:tc>
        <w:tc>
          <w:tcPr>
            <w:tcW w:type="dxa" w:w="2498"/>
            <w:vAlign w:val="center"/>
            <w:shd w:fill="F1F5F7"/>
            <w:tcMar>
              <w:top w:w="95" w:type="dxa"/>
              <w:start w:w="95" w:type="dxa"/>
              <w:bottom w:w="95" w:type="dxa"/>
              <w:end w:w="95" w:type="dxa"/>
            </w:tcMar>
          </w:tcPr>
          <w:p>
            <w:pPr>
              <w:spacing w:after="0"/>
            </w:pPr>
            <w:r/>
            <w:r>
              <w:rPr>
                <w:b w:val="0"/>
                <w:sz w:val="17"/>
              </w:rPr>
              <w:t>Liens officiels distincts des partenaires commerciaux.</w:t>
            </w:r>
          </w:p>
        </w:tc>
      </w:tr>
    </w:tbl>
    <w:p>
      <w:pPr>
        <w:spacing w:after="20"/>
      </w:pPr>
    </w:p>
    <w:p>
      <w:pPr>
        <w:pStyle w:val="Heading1"/>
      </w:pPr>
      <w:r>
        <w:t>5. Données d’entrée et résultats</w:t>
      </w:r>
    </w:p>
    <w:p>
      <w:pPr>
        <w:pStyle w:val="Heading2"/>
      </w:pPr>
      <w:r>
        <w:t>Données communes</w:t>
      </w:r>
    </w:p>
    <w:p>
      <w:r>
        <w:t>Type de propriétaire (particulier ou société), commune ou code postal, type et usage du logement, surface, horizon de comparaison, situation de location, montant d’emprunt restant et date de référence. Ne demander que les données nécessaires au calcul choisi.</w:t>
      </w:r>
    </w:p>
    <w:p>
      <w:pPr>
        <w:pStyle w:val="Heading2"/>
      </w:pPr>
      <w:r>
        <w:t>Données du module rénovation / vente</w:t>
      </w:r>
    </w:p>
    <w:p>
      <w:pPr>
        <w:pStyle w:val="ListBullet"/>
      </w:pPr>
      <w:r>
        <w:t>Classe DPE, date et validité du DPE, énergie et consommations si disponibles.</w:t>
      </w:r>
    </w:p>
    <w:p>
      <w:pPr>
        <w:pStyle w:val="ListBullet"/>
      </w:pPr>
      <w:r>
        <w:t>Loyer actuel et charges récupérables/non récupérables, vacance, charges courantes.</w:t>
      </w:r>
    </w:p>
    <w:p>
      <w:pPr>
        <w:pStyle w:val="ListBullet"/>
      </w:pPr>
      <w:r>
        <w:t>Prix de vente estimé, frais de vente éventuels et dette à rembourser.</w:t>
      </w:r>
    </w:p>
    <w:p>
      <w:pPr>
        <w:pStyle w:val="ListBullet"/>
      </w:pPr>
      <w:r>
        <w:t>Nature et devis des travaux, calendrier, aides pressenties, reste à financer et type de prêt.</w:t>
      </w:r>
    </w:p>
    <w:p>
      <w:pPr>
        <w:pStyle w:val="ListBullet"/>
      </w:pPr>
      <w:r>
        <w:t>Loyer estimé après travaux et valeur de revente projetée : toujours modifiables, clairement signalés comme hypothèses.</w:t>
      </w:r>
    </w:p>
    <w:p>
      <w:pPr>
        <w:pStyle w:val="Heading2"/>
      </w:pPr>
      <w:r>
        <w:t>Données du module LMNP</w:t>
      </w:r>
    </w:p>
    <w:p>
      <w:pPr>
        <w:pStyle w:val="ListBullet"/>
      </w:pPr>
      <w:r>
        <w:t>Prix d’achat, frais d’acquisition, travaux, mobilier et date de mise en location.</w:t>
      </w:r>
    </w:p>
    <w:p>
      <w:pPr>
        <w:pStyle w:val="ListBullet"/>
      </w:pPr>
      <w:r>
        <w:t>Loyers attendus, durée d’occupation, vacances et charges.</w:t>
      </w:r>
    </w:p>
    <w:p>
      <w:pPr>
        <w:pStyle w:val="ListBullet"/>
      </w:pPr>
      <w:r>
        <w:t>Apport, emprunt, taux, durée, assurance et frais de dossier.</w:t>
      </w:r>
    </w:p>
    <w:p>
      <w:pPr>
        <w:pStyle w:val="ListBullet"/>
      </w:pPr>
      <w:r>
        <w:t>Hypothèses fiscales et comptables nécessaires au niveau de détail retenu, sans demander plus que nécessaire.</w:t>
      </w:r>
    </w:p>
    <w:p>
      <w:pPr>
        <w:pStyle w:val="Heading2"/>
      </w:pPr>
      <w:r>
        <w:t>Indicateurs à afficher</w:t>
      </w:r>
    </w:p>
    <w:p>
      <w:r>
        <w:t>Investissement total; aides estimées; reste à financer; mensualités et intérêts; recettes annuelles; charges; cashflow avant/après financement; rendement brut/net selon définition explicitée; coût ou gain cumulé sur l’horizon; valeur finale retenue; différence entre scénarios; et niveau de sensibilité aux hypothèses principales.</w:t>
      </w:r>
    </w:p>
    <w:p>
      <w:pPr>
        <w:pStyle w:val="Heading1"/>
      </w:pPr>
      <w:r>
        <w:t>6. Règles de calcul et transparence</w:t>
      </w:r>
    </w:p>
    <w:p>
      <w:pPr>
        <w:pStyle w:val="ListBullet"/>
      </w:pPr>
      <w:r>
        <w:t>Séparer les données saisies, les hypothèses par défaut et les règles réglementaires.</w:t>
      </w:r>
    </w:p>
    <w:p>
      <w:pPr>
        <w:pStyle w:val="ListBullet"/>
      </w:pPr>
      <w:r>
        <w:t>Afficher la date de mise à jour des règles, la source et le territoire couvert.</w:t>
      </w:r>
    </w:p>
    <w:p>
      <w:pPr>
        <w:pStyle w:val="ListBullet"/>
      </w:pPr>
      <w:r>
        <w:t>Montrer les formules ou une explication lisible des principaux postes, pas seulement un chiffre final.</w:t>
      </w:r>
    </w:p>
    <w:p>
      <w:pPr>
        <w:pStyle w:val="ListBullet"/>
      </w:pPr>
      <w:r>
        <w:t>Prévoir une analyse de sensibilité sur le loyer, le prix de vente, le coût des travaux, la vacance et le taux de financement.</w:t>
      </w:r>
    </w:p>
    <w:p>
      <w:pPr>
        <w:pStyle w:val="ListBullet"/>
      </w:pPr>
      <w:r>
        <w:t>Ne pas cumuler des aides incompatibles; un calcul d’éligibilité définitif exige la situation exacte et les justificatifs.</w:t>
      </w:r>
    </w:p>
    <w:p>
      <w:pPr>
        <w:pStyle w:val="ListBullet"/>
      </w:pPr>
      <w:r>
        <w:t>Distinguer trésorerie et résultat fiscal. Ne pas appeler « bénéfice » un cashflow avant impôts.</w:t>
      </w:r>
    </w:p>
    <w:p>
      <w:pPr>
        <w:pStyle w:val="ListBullet"/>
      </w:pPr>
      <w:r>
        <w:t>Permettre une mise à jour des barèmes sans réécrire le simulateur et conserver la version des règles utilisée pour chaque rapport.</w:t>
      </w:r>
    </w:p>
    <w:p>
      <w:r>
        <w:t>Formule indicative pour le scénario travaux : coût net des travaux = coût des travaux + frais de financement − aides estimées. Le résultat comparatif doit ensuite intégrer les flux de loyers nets, charges, vacance, dette et valeur de sortie selon des conventions explicitement documentées. Il faut éviter une comparaison qui additionne des montants nominaux de périodes différentes sans expliquer l’inflation ou l’actualisation retenue.</w:t>
      </w:r>
    </w:p>
    <w:p>
      <w:pPr>
        <w:pStyle w:val="Heading1"/>
      </w:pPr>
      <w:r>
        <w:t>7. Cadre réglementaire à intégrer</w:t>
      </w:r>
    </w:p>
    <w:p>
      <w:r>
        <w:t>Pour la France métropolitaine, les sources officielles consultées indiquent que le niveau minimal de décence énergétique évolue selon les dates applicables à la signature, au renouvellement ou à la reconduction tacite du bail : logements G depuis le 1er janvier 2025, logements F à compter de 2028, puis logements E à compter de 2034. Le calendrier et les modalités peuvent différer outre-mer; l’outil doit demander le territoire et afficher le bon régime. L’alerte doit éviter de suggérer que tout bail en cours prend fin automatiquement à la date d’échéance.</w:t>
      </w:r>
    </w:p>
    <w:p>
      <w:r>
        <w:t>L’audit énergétique réglementaire peut être requis lors de la vente selon la classe du logement, le type de bien et le calendrier applicable. Le produit doit orienter vers les pages officielles et inviter à confirmer le cas concret auprès d’un professionnel.</w:t>
      </w:r>
    </w:p>
    <w:p>
      <w:r>
        <w:t>Les règles fiscales LMNP, les aides, les prêts et les exigences DPE évoluent. Toute mise en production doit inclure un responsable de veille, une date de dernière vérification et une procédure pour suspendre une règle si elle n’est plus fiable.</w:t>
      </w:r>
    </w:p>
    <w:p>
      <w:pPr>
        <w:pStyle w:val="ListBullet"/>
      </w:pPr>
      <w:r>
        <w:t>Service-Public — Logement à louer décent en métropole : https://www.service-public.fr/particuliers/vosdroits/F35978</w:t>
      </w:r>
    </w:p>
    <w:p>
      <w:pPr>
        <w:pStyle w:val="ListBullet"/>
      </w:pPr>
      <w:r>
        <w:t>Ministère de la Transition écologique — Location et gel des loyers des passoires énergétiques : https://www.ecologie.gouv.fr/politiques-publiques/location-gel-loyers-passoires-energetiques</w:t>
      </w:r>
    </w:p>
    <w:p>
      <w:pPr>
        <w:pStyle w:val="ListBullet"/>
      </w:pPr>
      <w:r>
        <w:t>Ministère — Audit énergétique réglementaire : https://www.ecologie.gouv.fr/politiques-publiques/audit-energetique-reglementaire</w:t>
      </w:r>
    </w:p>
    <w:p>
      <w:pPr>
        <w:pStyle w:val="ListBullet"/>
      </w:pPr>
      <w:r>
        <w:t>France Rénov’ — aides et simulateur officiel : https://france-renov.gouv.fr/</w:t>
      </w:r>
    </w:p>
    <w:p>
      <w:pPr>
        <w:pStyle w:val="Heading1"/>
      </w:pPr>
      <w:r>
        <w:t>8. Expérience, accessibilité et confiance</w:t>
      </w:r>
    </w:p>
    <w:p>
      <w:pPr>
        <w:pStyle w:val="ListBullet"/>
      </w:pPr>
      <w:r>
        <w:t>Écrire en français simple; définir LMNP, DPE, cashflow et rendement au premier usage.</w:t>
      </w:r>
    </w:p>
    <w:p>
      <w:pPr>
        <w:pStyle w:val="ListBullet"/>
      </w:pPr>
      <w:r>
        <w:t>Concevoir d’abord pour mobile; gros champs, sauvegarde des étapes et unités explicites.</w:t>
      </w:r>
    </w:p>
    <w:p>
      <w:pPr>
        <w:pStyle w:val="ListBullet"/>
      </w:pPr>
      <w:r>
        <w:t>Ne jamais coder l’urgence en rouge seule : associer texte, date et action suggérée.</w:t>
      </w:r>
    </w:p>
    <w:p>
      <w:pPr>
        <w:pStyle w:val="ListBullet"/>
      </w:pPr>
      <w:r>
        <w:t>Rendre le parcours utilisable au clavier et lisible par lecteur d’écran; contrastes conformes aux bonnes pratiques d’accessibilité.</w:t>
      </w:r>
    </w:p>
    <w:p>
      <w:pPr>
        <w:pStyle w:val="ListBullet"/>
      </w:pPr>
      <w:r>
        <w:t>Afficher qui édite le service, comment les données sont utilisées et comment les supprimer.</w:t>
      </w:r>
    </w:p>
    <w:p>
      <w:pPr>
        <w:pStyle w:val="ListBullet"/>
      </w:pPr>
      <w:r>
        <w:t>Séparer les résultats des messages publicitaires ou d’affiliation.</w:t>
      </w:r>
    </w:p>
    <w:p>
      <w:pPr>
        <w:pStyle w:val="Heading1"/>
      </w:pPr>
      <w:r>
        <w:t>9. Données personnelles et sécurité</w:t>
      </w:r>
    </w:p>
    <w:p>
      <w:r>
        <w:t>Le MVP devrait fonctionner sans compte. Si une sauvegarde en ligne ou un formulaire de contact est ajouté, limiter les données collectées, expliquer la finalité et la durée, obtenir le consentement requis pour les traceurs non essentiels et prévoir suppression/export. Éviter de recueillir des documents fiscaux ou bancaires au lancement. Faire valider la politique de confidentialité, les mentions légales et les obligations RGPD par une personne compétente avant publication.</w:t>
      </w:r>
    </w:p>
    <w:p>
      <w:r>
        <w:t>Mesures minimales : connexion chiffrée, contrôle des accès administratifs, sauvegardes, mises à jour, journalisation limitée, protection contre les abus et procédure de réponse aux incidents. Le prestataire d’hébergement et les sous-traitants devront être documentés.</w:t>
      </w:r>
    </w:p>
    <w:p>
      <w:pPr>
        <w:pStyle w:val="Heading1"/>
      </w:pPr>
      <w:r>
        <w:t>10. Pistes techniques de départ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4465B"/>
            <w:tcMar>
              <w:top w:w="95" w:type="dxa"/>
              <w:start w:w="95" w:type="dxa"/>
              <w:bottom w:w="95" w:type="dxa"/>
              <w:end w:w="95" w:type="dxa"/>
            </w:tcMar>
          </w:tcPr>
          <w:p>
            <w:pPr>
              <w:spacing w:after="0"/>
            </w:pPr>
            <w:r/>
            <w:r>
              <w:rPr>
                <w:b/>
                <w:color w:val="FFFFFF"/>
                <w:sz w:val="18"/>
              </w:rPr>
              <w:t>Brique</w:t>
            </w:r>
          </w:p>
        </w:tc>
        <w:tc>
          <w:tcPr>
            <w:tcW w:type="dxa" w:w="3331"/>
            <w:vAlign w:val="center"/>
            <w:shd w:fill="24465B"/>
            <w:tcMar>
              <w:top w:w="95" w:type="dxa"/>
              <w:start w:w="95" w:type="dxa"/>
              <w:bottom w:w="95" w:type="dxa"/>
              <w:end w:w="95" w:type="dxa"/>
            </w:tcMar>
          </w:tcPr>
          <w:p>
            <w:pPr>
              <w:spacing w:after="0"/>
            </w:pPr>
            <w:r/>
            <w:r>
              <w:rPr>
                <w:b/>
                <w:color w:val="FFFFFF"/>
                <w:sz w:val="18"/>
              </w:rPr>
              <w:t>Choix provisoire</w:t>
            </w:r>
          </w:p>
        </w:tc>
        <w:tc>
          <w:tcPr>
            <w:tcW w:type="dxa" w:w="3331"/>
            <w:vAlign w:val="center"/>
            <w:shd w:fill="24465B"/>
            <w:tcMar>
              <w:top w:w="95" w:type="dxa"/>
              <w:start w:w="95" w:type="dxa"/>
              <w:bottom w:w="95" w:type="dxa"/>
              <w:end w:w="95" w:type="dxa"/>
            </w:tcMar>
          </w:tcPr>
          <w:p>
            <w:pPr>
              <w:spacing w:after="0"/>
            </w:pPr>
            <w:r/>
            <w:r>
              <w:rPr>
                <w:b/>
                <w:color w:val="FFFFFF"/>
                <w:sz w:val="18"/>
              </w:rPr>
              <w:t>Pourquoi</w:t>
            </w:r>
          </w:p>
        </w:tc>
      </w:tr>
      <w:tr>
        <w:tc>
          <w:tcPr>
            <w:tcW w:type="dxa" w:w="3331"/>
            <w:vAlign w:val="center"/>
            <w:shd w:fill="F1F5F7"/>
            <w:tcMar>
              <w:top w:w="95" w:type="dxa"/>
              <w:start w:w="95" w:type="dxa"/>
              <w:bottom w:w="95" w:type="dxa"/>
              <w:end w:w="95" w:type="dxa"/>
            </w:tcMar>
          </w:tcPr>
          <w:p>
            <w:pPr>
              <w:spacing w:after="0"/>
            </w:pPr>
            <w:r/>
            <w:r>
              <w:rPr>
                <w:b w:val="0"/>
                <w:sz w:val="17"/>
              </w:rPr>
              <w:t>Interface</w:t>
            </w:r>
          </w:p>
        </w:tc>
        <w:tc>
          <w:tcPr>
            <w:tcW w:type="dxa" w:w="3331"/>
            <w:vAlign w:val="center"/>
            <w:shd w:fill="F1F5F7"/>
            <w:tcMar>
              <w:top w:w="95" w:type="dxa"/>
              <w:start w:w="95" w:type="dxa"/>
              <w:bottom w:w="95" w:type="dxa"/>
              <w:end w:w="95" w:type="dxa"/>
            </w:tcMar>
          </w:tcPr>
          <w:p>
            <w:pPr>
              <w:spacing w:after="0"/>
            </w:pPr>
            <w:r/>
            <w:r>
              <w:rPr>
                <w:b w:val="0"/>
                <w:sz w:val="17"/>
              </w:rPr>
              <w:t>Application web adaptative</w:t>
            </w:r>
          </w:p>
        </w:tc>
        <w:tc>
          <w:tcPr>
            <w:tcW w:type="dxa" w:w="3331"/>
            <w:vAlign w:val="center"/>
            <w:shd w:fill="F1F5F7"/>
            <w:tcMar>
              <w:top w:w="95" w:type="dxa"/>
              <w:start w:w="95" w:type="dxa"/>
              <w:bottom w:w="95" w:type="dxa"/>
              <w:end w:w="95" w:type="dxa"/>
            </w:tcMar>
          </w:tcPr>
          <w:p>
            <w:pPr>
              <w:spacing w:after="0"/>
            </w:pPr>
            <w:r/>
            <w:r>
              <w:rPr>
                <w:b w:val="0"/>
                <w:sz w:val="17"/>
              </w:rPr>
              <w:t>Accessible sans installation et adaptée au mobile.</w:t>
            </w:r>
          </w:p>
        </w:tc>
      </w:tr>
      <w:tr>
        <w:tc>
          <w:tcPr>
            <w:tcW w:type="dxa" w:w="3331"/>
            <w:vAlign w:val="center"/>
            <w:tcMar>
              <w:top w:w="95" w:type="dxa"/>
              <w:start w:w="95" w:type="dxa"/>
              <w:bottom w:w="95" w:type="dxa"/>
              <w:end w:w="95" w:type="dxa"/>
            </w:tcMar>
          </w:tcPr>
          <w:p>
            <w:pPr>
              <w:spacing w:after="0"/>
            </w:pPr>
            <w:r/>
            <w:r>
              <w:rPr>
                <w:b w:val="0"/>
                <w:sz w:val="17"/>
              </w:rPr>
              <w:t>Calculs</w:t>
            </w:r>
          </w:p>
        </w:tc>
        <w:tc>
          <w:tcPr>
            <w:tcW w:type="dxa" w:w="3331"/>
            <w:vAlign w:val="center"/>
            <w:tcMar>
              <w:top w:w="95" w:type="dxa"/>
              <w:start w:w="95" w:type="dxa"/>
              <w:bottom w:w="95" w:type="dxa"/>
              <w:end w:w="95" w:type="dxa"/>
            </w:tcMar>
          </w:tcPr>
          <w:p>
            <w:pPr>
              <w:spacing w:after="0"/>
            </w:pPr>
            <w:r/>
            <w:r>
              <w:rPr>
                <w:b w:val="0"/>
                <w:sz w:val="17"/>
              </w:rPr>
              <w:t>Moteur de calcul séparé de l’interface</w:t>
            </w:r>
          </w:p>
        </w:tc>
        <w:tc>
          <w:tcPr>
            <w:tcW w:type="dxa" w:w="3331"/>
            <w:vAlign w:val="center"/>
            <w:tcMar>
              <w:top w:w="95" w:type="dxa"/>
              <w:start w:w="95" w:type="dxa"/>
              <w:bottom w:w="95" w:type="dxa"/>
              <w:end w:w="95" w:type="dxa"/>
            </w:tcMar>
          </w:tcPr>
          <w:p>
            <w:pPr>
              <w:spacing w:after="0"/>
            </w:pPr>
            <w:r/>
            <w:r>
              <w:rPr>
                <w:b w:val="0"/>
                <w:sz w:val="17"/>
              </w:rPr>
              <w:t>Facilite la vérification, les mises à jour et les tests ultérieurs.</w:t>
            </w:r>
          </w:p>
        </w:tc>
      </w:tr>
      <w:tr>
        <w:tc>
          <w:tcPr>
            <w:tcW w:type="dxa" w:w="3331"/>
            <w:vAlign w:val="center"/>
            <w:shd w:fill="F1F5F7"/>
            <w:tcMar>
              <w:top w:w="95" w:type="dxa"/>
              <w:start w:w="95" w:type="dxa"/>
              <w:bottom w:w="95" w:type="dxa"/>
              <w:end w:w="95" w:type="dxa"/>
            </w:tcMar>
          </w:tcPr>
          <w:p>
            <w:pPr>
              <w:spacing w:after="0"/>
            </w:pPr>
            <w:r/>
            <w:r>
              <w:rPr>
                <w:b w:val="0"/>
                <w:sz w:val="17"/>
              </w:rPr>
              <w:t>Stockage MVP</w:t>
            </w:r>
          </w:p>
        </w:tc>
        <w:tc>
          <w:tcPr>
            <w:tcW w:type="dxa" w:w="3331"/>
            <w:vAlign w:val="center"/>
            <w:shd w:fill="F1F5F7"/>
            <w:tcMar>
              <w:top w:w="95" w:type="dxa"/>
              <w:start w:w="95" w:type="dxa"/>
              <w:bottom w:w="95" w:type="dxa"/>
              <w:end w:w="95" w:type="dxa"/>
            </w:tcMar>
          </w:tcPr>
          <w:p>
            <w:pPr>
              <w:spacing w:after="0"/>
            </w:pPr>
            <w:r/>
            <w:r>
              <w:rPr>
                <w:b w:val="0"/>
                <w:sz w:val="17"/>
              </w:rPr>
              <w:t>Aucun compte; stockage local ou export volontaire</w:t>
            </w:r>
          </w:p>
        </w:tc>
        <w:tc>
          <w:tcPr>
            <w:tcW w:type="dxa" w:w="3331"/>
            <w:vAlign w:val="center"/>
            <w:shd w:fill="F1F5F7"/>
            <w:tcMar>
              <w:top w:w="95" w:type="dxa"/>
              <w:start w:w="95" w:type="dxa"/>
              <w:bottom w:w="95" w:type="dxa"/>
              <w:end w:w="95" w:type="dxa"/>
            </w:tcMar>
          </w:tcPr>
          <w:p>
            <w:pPr>
              <w:spacing w:after="0"/>
            </w:pPr>
            <w:r/>
            <w:r>
              <w:rPr>
                <w:b w:val="0"/>
                <w:sz w:val="17"/>
              </w:rPr>
              <w:t>Réduit la collecte de données au lancement.</w:t>
            </w:r>
          </w:p>
        </w:tc>
      </w:tr>
      <w:tr>
        <w:tc>
          <w:tcPr>
            <w:tcW w:type="dxa" w:w="3331"/>
            <w:vAlign w:val="center"/>
            <w:tcMar>
              <w:top w:w="95" w:type="dxa"/>
              <w:start w:w="95" w:type="dxa"/>
              <w:bottom w:w="95" w:type="dxa"/>
              <w:end w:w="95" w:type="dxa"/>
            </w:tcMar>
          </w:tcPr>
          <w:p>
            <w:pPr>
              <w:spacing w:after="0"/>
            </w:pPr>
            <w:r/>
            <w:r>
              <w:rPr>
                <w:b w:val="0"/>
                <w:sz w:val="17"/>
              </w:rPr>
              <w:t>Administration</w:t>
            </w:r>
          </w:p>
        </w:tc>
        <w:tc>
          <w:tcPr>
            <w:tcW w:type="dxa" w:w="3331"/>
            <w:vAlign w:val="center"/>
            <w:tcMar>
              <w:top w:w="95" w:type="dxa"/>
              <w:start w:w="95" w:type="dxa"/>
              <w:bottom w:w="95" w:type="dxa"/>
              <w:end w:w="95" w:type="dxa"/>
            </w:tcMar>
          </w:tcPr>
          <w:p>
            <w:pPr>
              <w:spacing w:after="0"/>
            </w:pPr>
            <w:r/>
            <w:r>
              <w:rPr>
                <w:b w:val="0"/>
                <w:sz w:val="17"/>
              </w:rPr>
              <w:t>Fichier/table de règles versionné au début</w:t>
            </w:r>
          </w:p>
        </w:tc>
        <w:tc>
          <w:tcPr>
            <w:tcW w:type="dxa" w:w="3331"/>
            <w:vAlign w:val="center"/>
            <w:tcMar>
              <w:top w:w="95" w:type="dxa"/>
              <w:start w:w="95" w:type="dxa"/>
              <w:bottom w:w="95" w:type="dxa"/>
              <w:end w:w="95" w:type="dxa"/>
            </w:tcMar>
          </w:tcPr>
          <w:p>
            <w:pPr>
              <w:spacing w:after="0"/>
            </w:pPr>
            <w:r/>
            <w:r>
              <w:rPr>
                <w:b w:val="0"/>
                <w:sz w:val="17"/>
              </w:rPr>
              <w:t>Permet de dater et contrôler hypothèses et barèmes.</w:t>
            </w:r>
          </w:p>
        </w:tc>
      </w:tr>
      <w:tr>
        <w:tc>
          <w:tcPr>
            <w:tcW w:type="dxa" w:w="3331"/>
            <w:vAlign w:val="center"/>
            <w:shd w:fill="F1F5F7"/>
            <w:tcMar>
              <w:top w:w="95" w:type="dxa"/>
              <w:start w:w="95" w:type="dxa"/>
              <w:bottom w:w="95" w:type="dxa"/>
              <w:end w:w="95" w:type="dxa"/>
            </w:tcMar>
          </w:tcPr>
          <w:p>
            <w:pPr>
              <w:spacing w:after="0"/>
            </w:pPr>
            <w:r/>
            <w:r>
              <w:rPr>
                <w:b w:val="0"/>
                <w:sz w:val="17"/>
              </w:rPr>
              <w:t>Rapport</w:t>
            </w:r>
          </w:p>
        </w:tc>
        <w:tc>
          <w:tcPr>
            <w:tcW w:type="dxa" w:w="3331"/>
            <w:vAlign w:val="center"/>
            <w:shd w:fill="F1F5F7"/>
            <w:tcMar>
              <w:top w:w="95" w:type="dxa"/>
              <w:start w:w="95" w:type="dxa"/>
              <w:bottom w:w="95" w:type="dxa"/>
              <w:end w:w="95" w:type="dxa"/>
            </w:tcMar>
          </w:tcPr>
          <w:p>
            <w:pPr>
              <w:spacing w:after="0"/>
            </w:pPr>
            <w:r/>
            <w:r>
              <w:rPr>
                <w:b w:val="0"/>
                <w:sz w:val="17"/>
              </w:rPr>
              <w:t>Page imprimable puis PDF</w:t>
            </w:r>
          </w:p>
        </w:tc>
        <w:tc>
          <w:tcPr>
            <w:tcW w:type="dxa" w:w="3331"/>
            <w:vAlign w:val="center"/>
            <w:shd w:fill="F1F5F7"/>
            <w:tcMar>
              <w:top w:w="95" w:type="dxa"/>
              <w:start w:w="95" w:type="dxa"/>
              <w:bottom w:w="95" w:type="dxa"/>
              <w:end w:w="95" w:type="dxa"/>
            </w:tcMar>
          </w:tcPr>
          <w:p>
            <w:pPr>
              <w:spacing w:after="0"/>
            </w:pPr>
            <w:r/>
            <w:r>
              <w:rPr>
                <w:b w:val="0"/>
                <w:sz w:val="17"/>
              </w:rPr>
              <w:t>Donne un résultat partageable sans bâtir un espace client complet.</w:t>
            </w:r>
          </w:p>
        </w:tc>
      </w:tr>
    </w:tbl>
    <w:p>
      <w:pPr>
        <w:spacing w:after="20"/>
      </w:pPr>
    </w:p>
    <w:p>
      <w:r>
        <w:t>Ces choix sont des propositions pour cadrer le lancement, pas des décisions techniques définitives. Le choix de l’hébergement, du langage et des prestataires dépendra du budget, des compétences disponibles et du besoin de sauvegarder les dossiers.</w:t>
      </w:r>
    </w:p>
    <w:p>
      <w:pPr>
        <w:pStyle w:val="Heading1"/>
      </w:pPr>
      <w:r>
        <w:t>11. Mesure du succès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4465B"/>
            <w:tcMar>
              <w:top w:w="95" w:type="dxa"/>
              <w:start w:w="95" w:type="dxa"/>
              <w:bottom w:w="95" w:type="dxa"/>
              <w:end w:w="95" w:type="dxa"/>
            </w:tcMar>
          </w:tcPr>
          <w:p>
            <w:pPr>
              <w:spacing w:after="0"/>
            </w:pPr>
            <w:r/>
            <w:r>
              <w:rPr>
                <w:b/>
                <w:color w:val="FFFFFF"/>
                <w:sz w:val="18"/>
              </w:rPr>
              <w:t>Indicateur</w:t>
            </w:r>
          </w:p>
        </w:tc>
        <w:tc>
          <w:tcPr>
            <w:tcW w:type="dxa" w:w="4997"/>
            <w:vAlign w:val="center"/>
            <w:shd w:fill="24465B"/>
            <w:tcMar>
              <w:top w:w="95" w:type="dxa"/>
              <w:start w:w="95" w:type="dxa"/>
              <w:bottom w:w="95" w:type="dxa"/>
              <w:end w:w="95" w:type="dxa"/>
            </w:tcMar>
          </w:tcPr>
          <w:p>
            <w:pPr>
              <w:spacing w:after="0"/>
            </w:pPr>
            <w:r/>
            <w:r>
              <w:rPr>
                <w:b/>
                <w:color w:val="FFFFFF"/>
                <w:sz w:val="18"/>
              </w:rPr>
              <w:t>Ce qu’il apprend</w:t>
            </w:r>
          </w:p>
        </w:tc>
      </w:tr>
      <w:tr>
        <w:tc>
          <w:tcPr>
            <w:tcW w:type="dxa" w:w="4997"/>
            <w:vAlign w:val="center"/>
            <w:shd w:fill="F1F5F7"/>
            <w:tcMar>
              <w:top w:w="95" w:type="dxa"/>
              <w:start w:w="95" w:type="dxa"/>
              <w:bottom w:w="95" w:type="dxa"/>
              <w:end w:w="95" w:type="dxa"/>
            </w:tcMar>
          </w:tcPr>
          <w:p>
            <w:pPr>
              <w:spacing w:after="0"/>
            </w:pPr>
            <w:r/>
            <w:r>
              <w:rPr>
                <w:b w:val="0"/>
                <w:sz w:val="17"/>
              </w:rPr>
              <w:t>Taux de démarrage puis de fin par simulateur</w:t>
            </w:r>
          </w:p>
        </w:tc>
        <w:tc>
          <w:tcPr>
            <w:tcW w:type="dxa" w:w="4997"/>
            <w:vAlign w:val="center"/>
            <w:shd w:fill="F1F5F7"/>
            <w:tcMar>
              <w:top w:w="95" w:type="dxa"/>
              <w:start w:w="95" w:type="dxa"/>
              <w:bottom w:w="95" w:type="dxa"/>
              <w:end w:w="95" w:type="dxa"/>
            </w:tcMar>
          </w:tcPr>
          <w:p>
            <w:pPr>
              <w:spacing w:after="0"/>
            </w:pPr>
            <w:r/>
            <w:r>
              <w:rPr>
                <w:b w:val="0"/>
                <w:sz w:val="17"/>
              </w:rPr>
              <w:t>Le parcours est-il compréhensible et assez court ?</w:t>
            </w:r>
          </w:p>
        </w:tc>
      </w:tr>
      <w:tr>
        <w:tc>
          <w:tcPr>
            <w:tcW w:type="dxa" w:w="4997"/>
            <w:vAlign w:val="center"/>
            <w:tcMar>
              <w:top w:w="95" w:type="dxa"/>
              <w:start w:w="95" w:type="dxa"/>
              <w:bottom w:w="95" w:type="dxa"/>
              <w:end w:w="95" w:type="dxa"/>
            </w:tcMar>
          </w:tcPr>
          <w:p>
            <w:pPr>
              <w:spacing w:after="0"/>
            </w:pPr>
            <w:r/>
            <w:r>
              <w:rPr>
                <w:b w:val="0"/>
                <w:sz w:val="17"/>
              </w:rPr>
              <w:t>Temps médian pour obtenir un résultat</w:t>
            </w:r>
          </w:p>
        </w:tc>
        <w:tc>
          <w:tcPr>
            <w:tcW w:type="dxa" w:w="4997"/>
            <w:vAlign w:val="center"/>
            <w:tcMar>
              <w:top w:w="95" w:type="dxa"/>
              <w:start w:w="95" w:type="dxa"/>
              <w:bottom w:w="95" w:type="dxa"/>
              <w:end w:w="95" w:type="dxa"/>
            </w:tcMar>
          </w:tcPr>
          <w:p>
            <w:pPr>
              <w:spacing w:after="0"/>
            </w:pPr>
            <w:r/>
            <w:r>
              <w:rPr>
                <w:b w:val="0"/>
                <w:sz w:val="17"/>
              </w:rPr>
              <w:t>La saisie demande-t-elle trop d’effort ?</w:t>
            </w:r>
          </w:p>
        </w:tc>
      </w:tr>
      <w:tr>
        <w:tc>
          <w:tcPr>
            <w:tcW w:type="dxa" w:w="4997"/>
            <w:vAlign w:val="center"/>
            <w:shd w:fill="F1F5F7"/>
            <w:tcMar>
              <w:top w:w="95" w:type="dxa"/>
              <w:start w:w="95" w:type="dxa"/>
              <w:bottom w:w="95" w:type="dxa"/>
              <w:end w:w="95" w:type="dxa"/>
            </w:tcMar>
          </w:tcPr>
          <w:p>
            <w:pPr>
              <w:spacing w:after="0"/>
            </w:pPr>
            <w:r/>
            <w:r>
              <w:rPr>
                <w:b w:val="0"/>
                <w:sz w:val="17"/>
              </w:rPr>
              <w:t>Part des utilisateurs qui modifient les hypothèses</w:t>
            </w:r>
          </w:p>
        </w:tc>
        <w:tc>
          <w:tcPr>
            <w:tcW w:type="dxa" w:w="4997"/>
            <w:vAlign w:val="center"/>
            <w:shd w:fill="F1F5F7"/>
            <w:tcMar>
              <w:top w:w="95" w:type="dxa"/>
              <w:start w:w="95" w:type="dxa"/>
              <w:bottom w:w="95" w:type="dxa"/>
              <w:end w:w="95" w:type="dxa"/>
            </w:tcMar>
          </w:tcPr>
          <w:p>
            <w:pPr>
              <w:spacing w:after="0"/>
            </w:pPr>
            <w:r/>
            <w:r>
              <w:rPr>
                <w:b w:val="0"/>
                <w:sz w:val="17"/>
              </w:rPr>
              <w:t>Les résultats sont-ils compréhensibles et personnalisables ?</w:t>
            </w:r>
          </w:p>
        </w:tc>
      </w:tr>
      <w:tr>
        <w:tc>
          <w:tcPr>
            <w:tcW w:type="dxa" w:w="4997"/>
            <w:vAlign w:val="center"/>
            <w:tcMar>
              <w:top w:w="95" w:type="dxa"/>
              <w:start w:w="95" w:type="dxa"/>
              <w:bottom w:w="95" w:type="dxa"/>
              <w:end w:w="95" w:type="dxa"/>
            </w:tcMar>
          </w:tcPr>
          <w:p>
            <w:pPr>
              <w:spacing w:after="0"/>
            </w:pPr>
            <w:r/>
            <w:r>
              <w:rPr>
                <w:b w:val="0"/>
                <w:sz w:val="17"/>
              </w:rPr>
              <w:t>Part des résultats exportés ou imprimés</w:t>
            </w:r>
          </w:p>
        </w:tc>
        <w:tc>
          <w:tcPr>
            <w:tcW w:type="dxa" w:w="4997"/>
            <w:vAlign w:val="center"/>
            <w:tcMar>
              <w:top w:w="95" w:type="dxa"/>
              <w:start w:w="95" w:type="dxa"/>
              <w:bottom w:w="95" w:type="dxa"/>
              <w:end w:w="95" w:type="dxa"/>
            </w:tcMar>
          </w:tcPr>
          <w:p>
            <w:pPr>
              <w:spacing w:after="0"/>
            </w:pPr>
            <w:r/>
            <w:r>
              <w:rPr>
                <w:b w:val="0"/>
                <w:sz w:val="17"/>
              </w:rPr>
              <w:t>Le rapport sert-il à une décision ou à un échange ?</w:t>
            </w:r>
          </w:p>
        </w:tc>
      </w:tr>
      <w:tr>
        <w:tc>
          <w:tcPr>
            <w:tcW w:type="dxa" w:w="4997"/>
            <w:vAlign w:val="center"/>
            <w:shd w:fill="F1F5F7"/>
            <w:tcMar>
              <w:top w:w="95" w:type="dxa"/>
              <w:start w:w="95" w:type="dxa"/>
              <w:bottom w:w="95" w:type="dxa"/>
              <w:end w:w="95" w:type="dxa"/>
            </w:tcMar>
          </w:tcPr>
          <w:p>
            <w:pPr>
              <w:spacing w:after="0"/>
            </w:pPr>
            <w:r/>
            <w:r>
              <w:rPr>
                <w:b w:val="0"/>
                <w:sz w:val="17"/>
              </w:rPr>
              <w:t>Retours qualitatifs et erreurs signalées</w:t>
            </w:r>
          </w:p>
        </w:tc>
        <w:tc>
          <w:tcPr>
            <w:tcW w:type="dxa" w:w="4997"/>
            <w:vAlign w:val="center"/>
            <w:shd w:fill="F1F5F7"/>
            <w:tcMar>
              <w:top w:w="95" w:type="dxa"/>
              <w:start w:w="95" w:type="dxa"/>
              <w:bottom w:w="95" w:type="dxa"/>
              <w:end w:w="95" w:type="dxa"/>
            </w:tcMar>
          </w:tcPr>
          <w:p>
            <w:pPr>
              <w:spacing w:after="0"/>
            </w:pPr>
            <w:r/>
            <w:r>
              <w:rPr>
                <w:b w:val="0"/>
                <w:sz w:val="17"/>
              </w:rPr>
              <w:t>Quelles données ou explications manquent ?</w:t>
            </w:r>
          </w:p>
        </w:tc>
      </w:tr>
    </w:tbl>
    <w:p>
      <w:pPr>
        <w:spacing w:after="20"/>
      </w:pPr>
    </w:p>
    <w:p>
      <w:r>
        <w:t>Au départ, privilégier des entretiens et une dizaine de sessions observées avec des propriétaires plutôt que des objectifs chiffrés de conversion. Définir ensuite des seuils avec les premiers retours.</w:t>
      </w:r>
    </w:p>
    <w:p>
      <w:pPr>
        <w:pStyle w:val="Heading1"/>
      </w:pPr>
      <w:r>
        <w:t>12. Risques et réponses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24465B"/>
            <w:tcMar>
              <w:top w:w="95" w:type="dxa"/>
              <w:start w:w="95" w:type="dxa"/>
              <w:bottom w:w="95" w:type="dxa"/>
              <w:end w:w="95" w:type="dxa"/>
            </w:tcMar>
          </w:tcPr>
          <w:p>
            <w:pPr>
              <w:spacing w:after="0"/>
            </w:pPr>
            <w:r/>
            <w:r>
              <w:rPr>
                <w:b/>
                <w:color w:val="FFFFFF"/>
                <w:sz w:val="18"/>
              </w:rPr>
              <w:t>Risque</w:t>
            </w:r>
          </w:p>
        </w:tc>
        <w:tc>
          <w:tcPr>
            <w:tcW w:type="dxa" w:w="4997"/>
            <w:vAlign w:val="center"/>
            <w:shd w:fill="24465B"/>
            <w:tcMar>
              <w:top w:w="95" w:type="dxa"/>
              <w:start w:w="95" w:type="dxa"/>
              <w:bottom w:w="95" w:type="dxa"/>
              <w:end w:w="95" w:type="dxa"/>
            </w:tcMar>
          </w:tcPr>
          <w:p>
            <w:pPr>
              <w:spacing w:after="0"/>
            </w:pPr>
            <w:r/>
            <w:r>
              <w:rPr>
                <w:b/>
                <w:color w:val="FFFFFF"/>
                <w:sz w:val="18"/>
              </w:rPr>
              <w:t>Réponse de conception</w:t>
            </w:r>
          </w:p>
        </w:tc>
      </w:tr>
      <w:tr>
        <w:tc>
          <w:tcPr>
            <w:tcW w:type="dxa" w:w="4997"/>
            <w:vAlign w:val="center"/>
            <w:shd w:fill="F1F5F7"/>
            <w:tcMar>
              <w:top w:w="95" w:type="dxa"/>
              <w:start w:w="95" w:type="dxa"/>
              <w:bottom w:w="95" w:type="dxa"/>
              <w:end w:w="95" w:type="dxa"/>
            </w:tcMar>
          </w:tcPr>
          <w:p>
            <w:pPr>
              <w:spacing w:after="0"/>
            </w:pPr>
            <w:r/>
            <w:r>
              <w:rPr>
                <w:b w:val="0"/>
                <w:sz w:val="17"/>
              </w:rPr>
              <w:t>Résultat pris pour une promesse ou un conseil personnalisé</w:t>
            </w:r>
          </w:p>
        </w:tc>
        <w:tc>
          <w:tcPr>
            <w:tcW w:type="dxa" w:w="4997"/>
            <w:vAlign w:val="center"/>
            <w:shd w:fill="F1F5F7"/>
            <w:tcMar>
              <w:top w:w="95" w:type="dxa"/>
              <w:start w:w="95" w:type="dxa"/>
              <w:bottom w:w="95" w:type="dxa"/>
              <w:end w:w="95" w:type="dxa"/>
            </w:tcMar>
          </w:tcPr>
          <w:p>
            <w:pPr>
              <w:spacing w:after="0"/>
            </w:pPr>
            <w:r/>
            <w:r>
              <w:rPr>
                <w:b w:val="0"/>
                <w:sz w:val="17"/>
              </w:rPr>
              <w:t>Avertissements près du résultat, hypothèses visibles, validation par professionnels.</w:t>
            </w:r>
          </w:p>
        </w:tc>
      </w:tr>
      <w:tr>
        <w:tc>
          <w:tcPr>
            <w:tcW w:type="dxa" w:w="4997"/>
            <w:vAlign w:val="center"/>
            <w:tcMar>
              <w:top w:w="95" w:type="dxa"/>
              <w:start w:w="95" w:type="dxa"/>
              <w:bottom w:w="95" w:type="dxa"/>
              <w:end w:w="95" w:type="dxa"/>
            </w:tcMar>
          </w:tcPr>
          <w:p>
            <w:pPr>
              <w:spacing w:after="0"/>
            </w:pPr>
            <w:r/>
            <w:r>
              <w:rPr>
                <w:b w:val="0"/>
                <w:sz w:val="17"/>
              </w:rPr>
              <w:t>Barème d’aide ou règle devenu obsolète</w:t>
            </w:r>
          </w:p>
        </w:tc>
        <w:tc>
          <w:tcPr>
            <w:tcW w:type="dxa" w:w="4997"/>
            <w:vAlign w:val="center"/>
            <w:tcMar>
              <w:top w:w="95" w:type="dxa"/>
              <w:start w:w="95" w:type="dxa"/>
              <w:bottom w:w="95" w:type="dxa"/>
              <w:end w:w="95" w:type="dxa"/>
            </w:tcMar>
          </w:tcPr>
          <w:p>
            <w:pPr>
              <w:spacing w:after="0"/>
            </w:pPr>
            <w:r/>
            <w:r>
              <w:rPr>
                <w:b w:val="0"/>
                <w:sz w:val="17"/>
              </w:rPr>
              <w:t>Sources officielles, date/version, responsable et revue régulière.</w:t>
            </w:r>
          </w:p>
        </w:tc>
      </w:tr>
      <w:tr>
        <w:tc>
          <w:tcPr>
            <w:tcW w:type="dxa" w:w="4997"/>
            <w:vAlign w:val="center"/>
            <w:shd w:fill="F1F5F7"/>
            <w:tcMar>
              <w:top w:w="95" w:type="dxa"/>
              <w:start w:w="95" w:type="dxa"/>
              <w:bottom w:w="95" w:type="dxa"/>
              <w:end w:w="95" w:type="dxa"/>
            </w:tcMar>
          </w:tcPr>
          <w:p>
            <w:pPr>
              <w:spacing w:after="0"/>
            </w:pPr>
            <w:r/>
            <w:r>
              <w:rPr>
                <w:b w:val="0"/>
                <w:sz w:val="17"/>
              </w:rPr>
              <w:t>Donnée de marché imprécise</w:t>
            </w:r>
          </w:p>
        </w:tc>
        <w:tc>
          <w:tcPr>
            <w:tcW w:type="dxa" w:w="4997"/>
            <w:vAlign w:val="center"/>
            <w:shd w:fill="F1F5F7"/>
            <w:tcMar>
              <w:top w:w="95" w:type="dxa"/>
              <w:start w:w="95" w:type="dxa"/>
              <w:bottom w:w="95" w:type="dxa"/>
              <w:end w:w="95" w:type="dxa"/>
            </w:tcMar>
          </w:tcPr>
          <w:p>
            <w:pPr>
              <w:spacing w:after="0"/>
            </w:pPr>
            <w:r/>
            <w:r>
              <w:rPr>
                <w:b w:val="0"/>
                <w:sz w:val="17"/>
              </w:rPr>
              <w:t>Valeur modifiable, plage basse/centrale/haute, aucune prétention de prix garanti.</w:t>
            </w:r>
          </w:p>
        </w:tc>
      </w:tr>
      <w:tr>
        <w:tc>
          <w:tcPr>
            <w:tcW w:type="dxa" w:w="4997"/>
            <w:vAlign w:val="center"/>
            <w:tcMar>
              <w:top w:w="95" w:type="dxa"/>
              <w:start w:w="95" w:type="dxa"/>
              <w:bottom w:w="95" w:type="dxa"/>
              <w:end w:w="95" w:type="dxa"/>
            </w:tcMar>
          </w:tcPr>
          <w:p>
            <w:pPr>
              <w:spacing w:after="0"/>
            </w:pPr>
            <w:r/>
            <w:r>
              <w:rPr>
                <w:b w:val="0"/>
                <w:sz w:val="17"/>
              </w:rPr>
              <w:t>Comparaison financière trompeuse</w:t>
            </w:r>
          </w:p>
        </w:tc>
        <w:tc>
          <w:tcPr>
            <w:tcW w:type="dxa" w:w="4997"/>
            <w:vAlign w:val="center"/>
            <w:tcMar>
              <w:top w:w="95" w:type="dxa"/>
              <w:start w:w="95" w:type="dxa"/>
              <w:bottom w:w="95" w:type="dxa"/>
              <w:end w:w="95" w:type="dxa"/>
            </w:tcMar>
          </w:tcPr>
          <w:p>
            <w:pPr>
              <w:spacing w:after="0"/>
            </w:pPr>
            <w:r/>
            <w:r>
              <w:rPr>
                <w:b w:val="0"/>
                <w:sz w:val="17"/>
              </w:rPr>
              <w:t>Conventions communes, flux détaillés, sensibilité et limites affichées.</w:t>
            </w:r>
          </w:p>
        </w:tc>
      </w:tr>
      <w:tr>
        <w:tc>
          <w:tcPr>
            <w:tcW w:type="dxa" w:w="4997"/>
            <w:vAlign w:val="center"/>
            <w:shd w:fill="F1F5F7"/>
            <w:tcMar>
              <w:top w:w="95" w:type="dxa"/>
              <w:start w:w="95" w:type="dxa"/>
              <w:bottom w:w="95" w:type="dxa"/>
              <w:end w:w="95" w:type="dxa"/>
            </w:tcMar>
          </w:tcPr>
          <w:p>
            <w:pPr>
              <w:spacing w:after="0"/>
            </w:pPr>
            <w:r/>
            <w:r>
              <w:rPr>
                <w:b w:val="0"/>
                <w:sz w:val="17"/>
              </w:rPr>
              <w:t>Collecte excessive de données personnelles</w:t>
            </w:r>
          </w:p>
        </w:tc>
        <w:tc>
          <w:tcPr>
            <w:tcW w:type="dxa" w:w="4997"/>
            <w:vAlign w:val="center"/>
            <w:shd w:fill="F1F5F7"/>
            <w:tcMar>
              <w:top w:w="95" w:type="dxa"/>
              <w:start w:w="95" w:type="dxa"/>
              <w:bottom w:w="95" w:type="dxa"/>
              <w:end w:w="95" w:type="dxa"/>
            </w:tcMar>
          </w:tcPr>
          <w:p>
            <w:pPr>
              <w:spacing w:after="0"/>
            </w:pPr>
            <w:r/>
            <w:r>
              <w:rPr>
                <w:b w:val="0"/>
                <w:sz w:val="17"/>
              </w:rPr>
              <w:t>MVP sans compte, minimisation et durée de conservation définie.</w:t>
            </w:r>
          </w:p>
        </w:tc>
      </w:tr>
      <w:tr>
        <w:tc>
          <w:tcPr>
            <w:tcW w:type="dxa" w:w="4997"/>
            <w:vAlign w:val="center"/>
            <w:tcMar>
              <w:top w:w="95" w:type="dxa"/>
              <w:start w:w="95" w:type="dxa"/>
              <w:bottom w:w="95" w:type="dxa"/>
              <w:end w:w="95" w:type="dxa"/>
            </w:tcMar>
          </w:tcPr>
          <w:p>
            <w:pPr>
              <w:spacing w:after="0"/>
            </w:pPr>
            <w:r/>
            <w:r>
              <w:rPr>
                <w:b w:val="0"/>
                <w:sz w:val="17"/>
              </w:rPr>
              <w:t>Périmètre trop large dès le départ</w:t>
            </w:r>
          </w:p>
        </w:tc>
        <w:tc>
          <w:tcPr>
            <w:tcW w:type="dxa" w:w="4997"/>
            <w:vAlign w:val="center"/>
            <w:tcMar>
              <w:top w:w="95" w:type="dxa"/>
              <w:start w:w="95" w:type="dxa"/>
              <w:bottom w:w="95" w:type="dxa"/>
              <w:end w:w="95" w:type="dxa"/>
            </w:tcMar>
          </w:tcPr>
          <w:p>
            <w:pPr>
              <w:spacing w:after="0"/>
            </w:pPr>
            <w:r/>
            <w:r>
              <w:rPr>
                <w:b w:val="0"/>
                <w:sz w:val="17"/>
              </w:rPr>
              <w:t>Livrer deux parcours simples; repousser CRM, marketplace et automatisations.</w:t>
            </w:r>
          </w:p>
        </w:tc>
      </w:tr>
    </w:tbl>
    <w:p>
      <w:pPr>
        <w:spacing w:after="20"/>
      </w:pPr>
    </w:p>
    <w:p>
      <w:pPr>
        <w:pStyle w:val="Heading1"/>
      </w:pPr>
      <w:r>
        <w:t>13. Plan de travail proposé</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24465B"/>
            <w:tcMar>
              <w:top w:w="95" w:type="dxa"/>
              <w:start w:w="95" w:type="dxa"/>
              <w:bottom w:w="95" w:type="dxa"/>
              <w:end w:w="95" w:type="dxa"/>
            </w:tcMar>
          </w:tcPr>
          <w:p>
            <w:pPr>
              <w:spacing w:after="0"/>
            </w:pPr>
            <w:r/>
            <w:r>
              <w:rPr>
                <w:b/>
                <w:color w:val="FFFFFF"/>
                <w:sz w:val="18"/>
              </w:rPr>
              <w:t>Étape</w:t>
            </w:r>
          </w:p>
        </w:tc>
        <w:tc>
          <w:tcPr>
            <w:tcW w:type="dxa" w:w="3331"/>
            <w:vAlign w:val="center"/>
            <w:shd w:fill="24465B"/>
            <w:tcMar>
              <w:top w:w="95" w:type="dxa"/>
              <w:start w:w="95" w:type="dxa"/>
              <w:bottom w:w="95" w:type="dxa"/>
              <w:end w:w="95" w:type="dxa"/>
            </w:tcMar>
          </w:tcPr>
          <w:p>
            <w:pPr>
              <w:spacing w:after="0"/>
            </w:pPr>
            <w:r/>
            <w:r>
              <w:rPr>
                <w:b/>
                <w:color w:val="FFFFFF"/>
                <w:sz w:val="18"/>
              </w:rPr>
              <w:t>Travail</w:t>
            </w:r>
          </w:p>
        </w:tc>
        <w:tc>
          <w:tcPr>
            <w:tcW w:type="dxa" w:w="3331"/>
            <w:vAlign w:val="center"/>
            <w:shd w:fill="24465B"/>
            <w:tcMar>
              <w:top w:w="95" w:type="dxa"/>
              <w:start w:w="95" w:type="dxa"/>
              <w:bottom w:w="95" w:type="dxa"/>
              <w:end w:w="95" w:type="dxa"/>
            </w:tcMar>
          </w:tcPr>
          <w:p>
            <w:pPr>
              <w:spacing w:after="0"/>
            </w:pPr>
            <w:r/>
            <w:r>
              <w:rPr>
                <w:b/>
                <w:color w:val="FFFFFF"/>
                <w:sz w:val="18"/>
              </w:rPr>
              <w:t>Livrable</w:t>
            </w:r>
          </w:p>
        </w:tc>
      </w:tr>
      <w:tr>
        <w:tc>
          <w:tcPr>
            <w:tcW w:type="dxa" w:w="3331"/>
            <w:vAlign w:val="center"/>
            <w:shd w:fill="F1F5F7"/>
            <w:tcMar>
              <w:top w:w="95" w:type="dxa"/>
              <w:start w:w="95" w:type="dxa"/>
              <w:bottom w:w="95" w:type="dxa"/>
              <w:end w:w="95" w:type="dxa"/>
            </w:tcMar>
          </w:tcPr>
          <w:p>
            <w:pPr>
              <w:spacing w:after="0"/>
            </w:pPr>
            <w:r/>
            <w:r>
              <w:rPr>
                <w:b w:val="0"/>
                <w:sz w:val="17"/>
              </w:rPr>
              <w:t>1. Cadrage</w:t>
            </w:r>
          </w:p>
        </w:tc>
        <w:tc>
          <w:tcPr>
            <w:tcW w:type="dxa" w:w="3331"/>
            <w:vAlign w:val="center"/>
            <w:shd w:fill="F1F5F7"/>
            <w:tcMar>
              <w:top w:w="95" w:type="dxa"/>
              <w:start w:w="95" w:type="dxa"/>
              <w:bottom w:w="95" w:type="dxa"/>
              <w:end w:w="95" w:type="dxa"/>
            </w:tcMar>
          </w:tcPr>
          <w:p>
            <w:pPr>
              <w:spacing w:after="0"/>
            </w:pPr>
            <w:r/>
            <w:r>
              <w:rPr>
                <w:b w:val="0"/>
                <w:sz w:val="17"/>
              </w:rPr>
              <w:t>Entretiens propriétaires et professionnels; préciser la cible et le problème prioritaire.</w:t>
            </w:r>
          </w:p>
        </w:tc>
        <w:tc>
          <w:tcPr>
            <w:tcW w:type="dxa" w:w="3331"/>
            <w:vAlign w:val="center"/>
            <w:shd w:fill="F1F5F7"/>
            <w:tcMar>
              <w:top w:w="95" w:type="dxa"/>
              <w:start w:w="95" w:type="dxa"/>
              <w:bottom w:w="95" w:type="dxa"/>
              <w:end w:w="95" w:type="dxa"/>
            </w:tcMar>
          </w:tcPr>
          <w:p>
            <w:pPr>
              <w:spacing w:after="0"/>
            </w:pPr>
            <w:r/>
            <w:r>
              <w:rPr>
                <w:b w:val="0"/>
                <w:sz w:val="17"/>
              </w:rPr>
              <w:t>Décisions produit et liste des hypothèses.</w:t>
            </w:r>
          </w:p>
        </w:tc>
      </w:tr>
      <w:tr>
        <w:tc>
          <w:tcPr>
            <w:tcW w:type="dxa" w:w="3331"/>
            <w:vAlign w:val="center"/>
            <w:tcMar>
              <w:top w:w="95" w:type="dxa"/>
              <w:start w:w="95" w:type="dxa"/>
              <w:bottom w:w="95" w:type="dxa"/>
              <w:end w:w="95" w:type="dxa"/>
            </w:tcMar>
          </w:tcPr>
          <w:p>
            <w:pPr>
              <w:spacing w:after="0"/>
            </w:pPr>
            <w:r/>
            <w:r>
              <w:rPr>
                <w:b w:val="0"/>
                <w:sz w:val="17"/>
              </w:rPr>
              <w:t>2. Modèle de calcul</w:t>
            </w:r>
          </w:p>
        </w:tc>
        <w:tc>
          <w:tcPr>
            <w:tcW w:type="dxa" w:w="3331"/>
            <w:vAlign w:val="center"/>
            <w:tcMar>
              <w:top w:w="95" w:type="dxa"/>
              <w:start w:w="95" w:type="dxa"/>
              <w:bottom w:w="95" w:type="dxa"/>
              <w:end w:w="95" w:type="dxa"/>
            </w:tcMar>
          </w:tcPr>
          <w:p>
            <w:pPr>
              <w:spacing w:after="0"/>
            </w:pPr>
            <w:r/>
            <w:r>
              <w:rPr>
                <w:b w:val="0"/>
                <w:sz w:val="17"/>
              </w:rPr>
              <w:t>Définir variables, conventions, exemples vérifiés et cas limites pour les deux simulateurs.</w:t>
            </w:r>
          </w:p>
        </w:tc>
        <w:tc>
          <w:tcPr>
            <w:tcW w:type="dxa" w:w="3331"/>
            <w:vAlign w:val="center"/>
            <w:tcMar>
              <w:top w:w="95" w:type="dxa"/>
              <w:start w:w="95" w:type="dxa"/>
              <w:bottom w:w="95" w:type="dxa"/>
              <w:end w:w="95" w:type="dxa"/>
            </w:tcMar>
          </w:tcPr>
          <w:p>
            <w:pPr>
              <w:spacing w:after="0"/>
            </w:pPr>
            <w:r/>
            <w:r>
              <w:rPr>
                <w:b w:val="0"/>
                <w:sz w:val="17"/>
              </w:rPr>
              <w:t>Spécification de calcul validable.</w:t>
            </w:r>
          </w:p>
        </w:tc>
      </w:tr>
      <w:tr>
        <w:tc>
          <w:tcPr>
            <w:tcW w:type="dxa" w:w="3331"/>
            <w:vAlign w:val="center"/>
            <w:shd w:fill="F1F5F7"/>
            <w:tcMar>
              <w:top w:w="95" w:type="dxa"/>
              <w:start w:w="95" w:type="dxa"/>
              <w:bottom w:w="95" w:type="dxa"/>
              <w:end w:w="95" w:type="dxa"/>
            </w:tcMar>
          </w:tcPr>
          <w:p>
            <w:pPr>
              <w:spacing w:after="0"/>
            </w:pPr>
            <w:r/>
            <w:r>
              <w:rPr>
                <w:b w:val="0"/>
                <w:sz w:val="17"/>
              </w:rPr>
              <w:t>3. Prototype cliquable</w:t>
            </w:r>
          </w:p>
        </w:tc>
        <w:tc>
          <w:tcPr>
            <w:tcW w:type="dxa" w:w="3331"/>
            <w:vAlign w:val="center"/>
            <w:shd w:fill="F1F5F7"/>
            <w:tcMar>
              <w:top w:w="95" w:type="dxa"/>
              <w:start w:w="95" w:type="dxa"/>
              <w:bottom w:w="95" w:type="dxa"/>
              <w:end w:w="95" w:type="dxa"/>
            </w:tcMar>
          </w:tcPr>
          <w:p>
            <w:pPr>
              <w:spacing w:after="0"/>
            </w:pPr>
            <w:r/>
            <w:r>
              <w:rPr>
                <w:b w:val="0"/>
                <w:sz w:val="17"/>
              </w:rPr>
              <w:t>Maquetter accueil, questionnaires, résultats et rapport sur mobile.</w:t>
            </w:r>
          </w:p>
        </w:tc>
        <w:tc>
          <w:tcPr>
            <w:tcW w:type="dxa" w:w="3331"/>
            <w:vAlign w:val="center"/>
            <w:shd w:fill="F1F5F7"/>
            <w:tcMar>
              <w:top w:w="95" w:type="dxa"/>
              <w:start w:w="95" w:type="dxa"/>
              <w:bottom w:w="95" w:type="dxa"/>
              <w:end w:w="95" w:type="dxa"/>
            </w:tcMar>
          </w:tcPr>
          <w:p>
            <w:pPr>
              <w:spacing w:after="0"/>
            </w:pPr>
            <w:r/>
            <w:r>
              <w:rPr>
                <w:b w:val="0"/>
                <w:sz w:val="17"/>
              </w:rPr>
              <w:t>Prototype à tester avec utilisateurs.</w:t>
            </w:r>
          </w:p>
        </w:tc>
      </w:tr>
      <w:tr>
        <w:tc>
          <w:tcPr>
            <w:tcW w:type="dxa" w:w="3331"/>
            <w:vAlign w:val="center"/>
            <w:tcMar>
              <w:top w:w="95" w:type="dxa"/>
              <w:start w:w="95" w:type="dxa"/>
              <w:bottom w:w="95" w:type="dxa"/>
              <w:end w:w="95" w:type="dxa"/>
            </w:tcMar>
          </w:tcPr>
          <w:p>
            <w:pPr>
              <w:spacing w:after="0"/>
            </w:pPr>
            <w:r/>
            <w:r>
              <w:rPr>
                <w:b w:val="0"/>
                <w:sz w:val="17"/>
              </w:rPr>
              <w:t>4. MVP web</w:t>
            </w:r>
          </w:p>
        </w:tc>
        <w:tc>
          <w:tcPr>
            <w:tcW w:type="dxa" w:w="3331"/>
            <w:vAlign w:val="center"/>
            <w:tcMar>
              <w:top w:w="95" w:type="dxa"/>
              <w:start w:w="95" w:type="dxa"/>
              <w:bottom w:w="95" w:type="dxa"/>
              <w:end w:w="95" w:type="dxa"/>
            </w:tcMar>
          </w:tcPr>
          <w:p>
            <w:pPr>
              <w:spacing w:after="0"/>
            </w:pPr>
            <w:r/>
            <w:r>
              <w:rPr>
                <w:b w:val="0"/>
                <w:sz w:val="17"/>
              </w:rPr>
              <w:t>Construire les deux parcours, contrôle de saisie, comparaison et page ressources.</w:t>
            </w:r>
          </w:p>
        </w:tc>
        <w:tc>
          <w:tcPr>
            <w:tcW w:type="dxa" w:w="3331"/>
            <w:vAlign w:val="center"/>
            <w:tcMar>
              <w:top w:w="95" w:type="dxa"/>
              <w:start w:w="95" w:type="dxa"/>
              <w:bottom w:w="95" w:type="dxa"/>
              <w:end w:w="95" w:type="dxa"/>
            </w:tcMar>
          </w:tcPr>
          <w:p>
            <w:pPr>
              <w:spacing w:after="0"/>
            </w:pPr>
            <w:r/>
            <w:r>
              <w:rPr>
                <w:b w:val="0"/>
                <w:sz w:val="17"/>
              </w:rPr>
              <w:t>Version pilote sans compte.</w:t>
            </w:r>
          </w:p>
        </w:tc>
      </w:tr>
      <w:tr>
        <w:tc>
          <w:tcPr>
            <w:tcW w:type="dxa" w:w="3331"/>
            <w:vAlign w:val="center"/>
            <w:shd w:fill="F1F5F7"/>
            <w:tcMar>
              <w:top w:w="95" w:type="dxa"/>
              <w:start w:w="95" w:type="dxa"/>
              <w:bottom w:w="95" w:type="dxa"/>
              <w:end w:w="95" w:type="dxa"/>
            </w:tcMar>
          </w:tcPr>
          <w:p>
            <w:pPr>
              <w:spacing w:after="0"/>
            </w:pPr>
            <w:r/>
            <w:r>
              <w:rPr>
                <w:b w:val="0"/>
                <w:sz w:val="17"/>
              </w:rPr>
              <w:t>5. Vérification métier</w:t>
            </w:r>
          </w:p>
        </w:tc>
        <w:tc>
          <w:tcPr>
            <w:tcW w:type="dxa" w:w="3331"/>
            <w:vAlign w:val="center"/>
            <w:shd w:fill="F1F5F7"/>
            <w:tcMar>
              <w:top w:w="95" w:type="dxa"/>
              <w:start w:w="95" w:type="dxa"/>
              <w:bottom w:w="95" w:type="dxa"/>
              <w:end w:w="95" w:type="dxa"/>
            </w:tcMar>
          </w:tcPr>
          <w:p>
            <w:pPr>
              <w:spacing w:after="0"/>
            </w:pPr>
            <w:r/>
            <w:r>
              <w:rPr>
                <w:b w:val="0"/>
                <w:sz w:val="17"/>
              </w:rPr>
              <w:t>Faire relire fiscalité, aides, règles DPE, mentions et résultats par experts concernés.</w:t>
            </w:r>
          </w:p>
        </w:tc>
        <w:tc>
          <w:tcPr>
            <w:tcW w:type="dxa" w:w="3331"/>
            <w:vAlign w:val="center"/>
            <w:shd w:fill="F1F5F7"/>
            <w:tcMar>
              <w:top w:w="95" w:type="dxa"/>
              <w:start w:w="95" w:type="dxa"/>
              <w:bottom w:w="95" w:type="dxa"/>
              <w:end w:w="95" w:type="dxa"/>
            </w:tcMar>
          </w:tcPr>
          <w:p>
            <w:pPr>
              <w:spacing w:after="0"/>
            </w:pPr>
            <w:r/>
            <w:r>
              <w:rPr>
                <w:b w:val="0"/>
                <w:sz w:val="17"/>
              </w:rPr>
              <w:t>Corrections et registre des validations.</w:t>
            </w:r>
          </w:p>
        </w:tc>
      </w:tr>
      <w:tr>
        <w:tc>
          <w:tcPr>
            <w:tcW w:type="dxa" w:w="3331"/>
            <w:vAlign w:val="center"/>
            <w:tcMar>
              <w:top w:w="95" w:type="dxa"/>
              <w:start w:w="95" w:type="dxa"/>
              <w:bottom w:w="95" w:type="dxa"/>
              <w:end w:w="95" w:type="dxa"/>
            </w:tcMar>
          </w:tcPr>
          <w:p>
            <w:pPr>
              <w:spacing w:after="0"/>
            </w:pPr>
            <w:r/>
            <w:r>
              <w:rPr>
                <w:b w:val="0"/>
                <w:sz w:val="17"/>
              </w:rPr>
              <w:t>6. Pilote limité</w:t>
            </w:r>
          </w:p>
        </w:tc>
        <w:tc>
          <w:tcPr>
            <w:tcW w:type="dxa" w:w="3331"/>
            <w:vAlign w:val="center"/>
            <w:tcMar>
              <w:top w:w="95" w:type="dxa"/>
              <w:start w:w="95" w:type="dxa"/>
              <w:bottom w:w="95" w:type="dxa"/>
              <w:end w:w="95" w:type="dxa"/>
            </w:tcMar>
          </w:tcPr>
          <w:p>
            <w:pPr>
              <w:spacing w:after="0"/>
            </w:pPr>
            <w:r/>
            <w:r>
              <w:rPr>
                <w:b w:val="0"/>
                <w:sz w:val="17"/>
              </w:rPr>
              <w:t>Observer l’usage, corriger incompréhensions et mesurer la qualité des estimations.</w:t>
            </w:r>
          </w:p>
        </w:tc>
        <w:tc>
          <w:tcPr>
            <w:tcW w:type="dxa" w:w="3331"/>
            <w:vAlign w:val="center"/>
            <w:tcMar>
              <w:top w:w="95" w:type="dxa"/>
              <w:start w:w="95" w:type="dxa"/>
              <w:bottom w:w="95" w:type="dxa"/>
              <w:end w:w="95" w:type="dxa"/>
            </w:tcMar>
          </w:tcPr>
          <w:p>
            <w:pPr>
              <w:spacing w:after="0"/>
            </w:pPr>
            <w:r/>
            <w:r>
              <w:rPr>
                <w:b w:val="0"/>
                <w:sz w:val="17"/>
              </w:rPr>
              <w:t>Décision de poursuivre, réduire ou étendre le produit.</w:t>
            </w:r>
          </w:p>
        </w:tc>
      </w:tr>
    </w:tbl>
    <w:p>
      <w:pPr>
        <w:spacing w:after="20"/>
      </w:pPr>
    </w:p>
    <w:p>
      <w:pPr>
        <w:pStyle w:val="Heading1"/>
      </w:pPr>
      <w:r>
        <w:t>14. Questions à trancher pour la suite</w:t>
      </w:r>
    </w:p>
    <w:p>
      <w:pPr>
        <w:pStyle w:val="ListBullet"/>
      </w:pPr>
      <w:r>
        <w:t>Qui est le premier public : propriétaires bailleurs, investisseurs LMNP ou vendeurs de biens F/G ?</w:t>
      </w:r>
    </w:p>
    <w:p>
      <w:pPr>
        <w:pStyle w:val="ListBullet"/>
      </w:pPr>
      <w:r>
        <w:t>Le lancement vise-t-il la France métropolitaine seulement ?</w:t>
      </w:r>
    </w:p>
    <w:p>
      <w:pPr>
        <w:pStyle w:val="ListBullet"/>
      </w:pPr>
      <w:r>
        <w:t>Quel niveau de simulation fiscale LMNP souhaitez-vous : simple estimation ou calcul avancé avec amortissements ?</w:t>
      </w:r>
    </w:p>
    <w:p>
      <w:pPr>
        <w:pStyle w:val="ListBullet"/>
      </w:pPr>
      <w:r>
        <w:t>Voulez-vous un site informatif, un outil gratuit avec prospects, un abonnement ou une mise en relation ?</w:t>
      </w:r>
    </w:p>
    <w:p>
      <w:pPr>
        <w:pStyle w:val="ListBullet"/>
      </w:pPr>
      <w:r>
        <w:t>Avez-vous déjà un prototype du simulateur LMNP, des formules ou des écrans à intégrer ?</w:t>
      </w:r>
    </w:p>
    <w:p>
      <w:pPr>
        <w:pStyle w:val="ListBullet"/>
      </w:pPr>
      <w:r>
        <w:t>Quel budget et quelles compétences (développement, fiscalité, travaux, design) sont disponibles ?</w:t>
      </w:r>
    </w:p>
    <w:p>
      <w:pPr>
        <w:pStyle w:val="Heading2"/>
      </w:pPr>
      <w:r>
        <w:t>Première recommandation</w:t>
      </w:r>
    </w:p>
    <w:p>
      <w:r>
        <w:t>Commencer par choisir un segment utilisateur et valider les formules avec quelques cas réels anonymisés. Ensuite, maquetter le parcours « rénover ou vendre », car la note existante en fournit déjà le point de départ, tout en définissant le niveau de détail acceptable pour le simulateur LMNP.</w:t>
      </w:r>
    </w:p>
    <w:p>
      <w:pPr>
        <w:pStyle w:val="Heading1"/>
      </w:pPr>
      <w:r>
        <w:t>Annexe — informations tirées de la note jointe</w:t>
      </w:r>
    </w:p>
    <w:p>
      <w:r>
        <w:t>La note présente une première proposition de simulateur rénovation ou vente, fondée sur les aides, le financement des travaux, les revenus locatifs et une échéance réglementaire liée au DPE. Elle identifie comme hypothèses à consolider la décote de marché, le loyer après travaux et les plafonds simplifiés d’aides. Elle suggère de regrouper les simulateurs LMNP et passoire thermique dans une suite immobilière. Ces points ont été repris comme hypothèses de travail, et non comme résultats déjà validés.</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6"/>
        <w:sz w:val="16"/>
      </w:rPr>
      <w:t>Projet immobilier — cahier des charges initial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