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EABA" w14:textId="77777777" w:rsidR="003F1D72" w:rsidRPr="003F1D72" w:rsidRDefault="003F1D72" w:rsidP="003F1D72">
      <w:pPr>
        <w:spacing w:after="0" w:line="259" w:lineRule="auto"/>
        <w:ind w:left="0" w:right="10" w:firstLine="0"/>
        <w:jc w:val="center"/>
        <w:rPr>
          <w:rFonts w:ascii="Times New Roman" w:hAnsi="Times New Roman" w:cs="Times New Roman"/>
          <w:sz w:val="28"/>
          <w:szCs w:val="28"/>
        </w:rPr>
      </w:pPr>
      <w:r w:rsidRPr="003F1D72">
        <w:rPr>
          <w:rFonts w:ascii="Times New Roman" w:hAnsi="Times New Roman" w:cs="Times New Roman"/>
          <w:sz w:val="28"/>
          <w:szCs w:val="28"/>
        </w:rPr>
        <w:t>Entropy-Adaptive Constraint Dynamic Time Warping (EAC-DTW): An Entropy-Driven Alignment Strategy for Robust ECG Classification</w:t>
      </w:r>
    </w:p>
    <w:p w14:paraId="2C128363" w14:textId="305352F3" w:rsidR="003F1D72" w:rsidRPr="003F1D72" w:rsidRDefault="003F1D72" w:rsidP="003F1D72">
      <w:pPr>
        <w:spacing w:after="0" w:line="259" w:lineRule="auto"/>
        <w:ind w:left="0" w:right="10" w:firstLine="0"/>
        <w:jc w:val="center"/>
        <w:rPr>
          <w:rFonts w:ascii="Times New Roman" w:hAnsi="Times New Roman" w:cs="Times New Roman"/>
          <w:sz w:val="22"/>
          <w:szCs w:val="22"/>
        </w:rPr>
      </w:pPr>
      <w:r w:rsidRPr="003F1D72">
        <w:rPr>
          <w:rFonts w:ascii="Times New Roman" w:hAnsi="Times New Roman" w:cs="Times New Roman"/>
          <w:sz w:val="22"/>
          <w:szCs w:val="22"/>
        </w:rPr>
        <w:t>Fnu Ashutosh</w:t>
      </w:r>
      <w:r w:rsidR="00E76C74">
        <w:rPr>
          <w:rFonts w:ascii="Times New Roman" w:hAnsi="Times New Roman" w:cs="Times New Roman"/>
          <w:sz w:val="22"/>
          <w:szCs w:val="22"/>
        </w:rPr>
        <w:t>, Shivam Jha</w:t>
      </w:r>
    </w:p>
    <w:p w14:paraId="29F205A2" w14:textId="77777777" w:rsidR="003F1D72" w:rsidRPr="003F1D72" w:rsidRDefault="003F1D72" w:rsidP="003F1D72">
      <w:pPr>
        <w:spacing w:after="0" w:line="259" w:lineRule="auto"/>
        <w:ind w:left="0" w:right="10" w:firstLine="0"/>
        <w:jc w:val="center"/>
        <w:rPr>
          <w:rFonts w:ascii="Times New Roman" w:hAnsi="Times New Roman" w:cs="Times New Roman"/>
          <w:sz w:val="22"/>
          <w:szCs w:val="22"/>
        </w:rPr>
      </w:pPr>
      <w:r w:rsidRPr="003F1D72">
        <w:rPr>
          <w:rFonts w:ascii="Times New Roman" w:hAnsi="Times New Roman" w:cs="Times New Roman"/>
          <w:sz w:val="22"/>
          <w:szCs w:val="22"/>
        </w:rPr>
        <w:t>Faculty Advisor: Sung-Hyuk Cha</w:t>
      </w:r>
    </w:p>
    <w:p w14:paraId="2A2C1AB2" w14:textId="10DA8376" w:rsidR="003F1D72" w:rsidRPr="003F1D72" w:rsidRDefault="003F1D72" w:rsidP="003F1D72">
      <w:pPr>
        <w:spacing w:after="0" w:line="259" w:lineRule="auto"/>
        <w:ind w:left="0" w:right="10" w:firstLine="0"/>
        <w:jc w:val="center"/>
        <w:rPr>
          <w:rFonts w:ascii="Times New Roman" w:hAnsi="Times New Roman" w:cs="Times New Roman"/>
          <w:sz w:val="20"/>
          <w:szCs w:val="20"/>
        </w:rPr>
      </w:pPr>
      <w:r w:rsidRPr="003F1D72">
        <w:rPr>
          <w:rFonts w:ascii="Times New Roman" w:hAnsi="Times New Roman" w:cs="Times New Roman"/>
          <w:sz w:val="20"/>
          <w:szCs w:val="20"/>
        </w:rPr>
        <w:t>Seidenberg School of Computer Science and Information Systems, Pace University, New York, NY, USA</w:t>
      </w:r>
    </w:p>
    <w:p w14:paraId="4F9DE567" w14:textId="6ED94882" w:rsidR="00A92F2A" w:rsidRPr="003F1D72" w:rsidRDefault="003F1D72" w:rsidP="003F1D72">
      <w:pPr>
        <w:spacing w:after="0" w:line="259" w:lineRule="auto"/>
        <w:ind w:left="0" w:right="10" w:firstLine="0"/>
        <w:jc w:val="center"/>
        <w:rPr>
          <w:rFonts w:ascii="Times New Roman" w:hAnsi="Times New Roman" w:cs="Times New Roman"/>
          <w:sz w:val="20"/>
          <w:szCs w:val="20"/>
        </w:rPr>
      </w:pPr>
      <w:r w:rsidRPr="003F1D72">
        <w:rPr>
          <w:rFonts w:ascii="Times New Roman" w:hAnsi="Times New Roman" w:cs="Times New Roman"/>
          <w:sz w:val="20"/>
          <w:szCs w:val="20"/>
        </w:rPr>
        <w:t>{an05893n</w:t>
      </w:r>
      <w:r w:rsidR="00E76C74">
        <w:rPr>
          <w:rFonts w:ascii="Times New Roman" w:hAnsi="Times New Roman" w:cs="Times New Roman"/>
          <w:sz w:val="20"/>
          <w:szCs w:val="20"/>
        </w:rPr>
        <w:t xml:space="preserve">, </w:t>
      </w:r>
      <w:r w:rsidRPr="003F1D72">
        <w:rPr>
          <w:rFonts w:ascii="Times New Roman" w:hAnsi="Times New Roman" w:cs="Times New Roman"/>
          <w:sz w:val="20"/>
          <w:szCs w:val="20"/>
        </w:rPr>
        <w:t>}@pace.edu</w:t>
      </w:r>
    </w:p>
    <w:p w14:paraId="564D66FC" w14:textId="77777777" w:rsidR="003F1D72" w:rsidRPr="003F1D72" w:rsidRDefault="003F1D72" w:rsidP="003F1D72">
      <w:pPr>
        <w:spacing w:after="71" w:line="259" w:lineRule="auto"/>
        <w:ind w:left="0" w:firstLine="0"/>
        <w:jc w:val="left"/>
        <w:rPr>
          <w:rFonts w:ascii="Times New Roman" w:hAnsi="Times New Roman" w:cs="Times New Roman"/>
        </w:rPr>
      </w:pPr>
    </w:p>
    <w:p w14:paraId="26D83858" w14:textId="41618C3A" w:rsidR="003F1D72" w:rsidRPr="003F1D72" w:rsidRDefault="003F1D72" w:rsidP="003F1D72">
      <w:pPr>
        <w:spacing w:after="71" w:line="259" w:lineRule="auto"/>
        <w:ind w:left="0" w:firstLine="0"/>
        <w:jc w:val="left"/>
        <w:rPr>
          <w:rFonts w:ascii="Times New Roman" w:hAnsi="Times New Roman" w:cs="Times New Roman"/>
          <w:sz w:val="20"/>
          <w:szCs w:val="20"/>
        </w:rPr>
      </w:pPr>
      <w:r w:rsidRPr="003F1D72">
        <w:rPr>
          <w:rFonts w:ascii="Times New Roman" w:hAnsi="Times New Roman" w:cs="Times New Roman"/>
          <w:sz w:val="20"/>
          <w:szCs w:val="20"/>
        </w:rPr>
        <w:t xml:space="preserve">Dynamic Time Warping (DTW) is widely used for temporal alignment in physiological signal analysis, yet unconstrained DTW can suffer from pathological warping in noisy segments—aligning transient artifacts with clinically meaningful morphology (e.g., QRS complexes). Fixed global constraints such as the </w:t>
      </w:r>
      <w:proofErr w:type="spellStart"/>
      <w:r w:rsidRPr="003F1D72">
        <w:rPr>
          <w:rFonts w:ascii="Times New Roman" w:hAnsi="Times New Roman" w:cs="Times New Roman"/>
          <w:sz w:val="20"/>
          <w:szCs w:val="20"/>
        </w:rPr>
        <w:t>Sakoe</w:t>
      </w:r>
      <w:proofErr w:type="spellEnd"/>
      <w:r w:rsidRPr="003F1D72">
        <w:rPr>
          <w:rFonts w:ascii="Times New Roman" w:hAnsi="Times New Roman" w:cs="Times New Roman"/>
          <w:sz w:val="20"/>
          <w:szCs w:val="20"/>
        </w:rPr>
        <w:t xml:space="preserve">-Chiba band reduce excessive elasticity but cannot adapt to heterogeneous structure in Electrocardiogram (ECG) signals that alternate between high-complexity (QRS) and low-complexity (isoelectric) regions. We present Entropy-Adaptive Constraint Dynamic Time Warping (EAC-DTW), a modified DTW formulation that computes a rolling Shannon entropy profile and maps it through a sigmoid to produce a position-dependent constraint vector. Low-entropy regions receive tight warping limits to suppress singularities; high-entropy regions allow broader alignment flexibility to preserve morphological fidelity. Using a controlled synthetic ECG-like dataset (five arrhythmia classes: Normal, LBBB, RBBB, PVC, APC) under three noise conditions (clean, 20 dB, 10 dB SNR), EAC-DTW achieves 79.3% classification accuracy at 10 dB—improving by 6.0 percentage points over a fixed 10% </w:t>
      </w:r>
      <w:proofErr w:type="spellStart"/>
      <w:r w:rsidRPr="003F1D72">
        <w:rPr>
          <w:rFonts w:ascii="Times New Roman" w:hAnsi="Times New Roman" w:cs="Times New Roman"/>
          <w:sz w:val="20"/>
          <w:szCs w:val="20"/>
        </w:rPr>
        <w:t>Sakoe</w:t>
      </w:r>
      <w:proofErr w:type="spellEnd"/>
      <w:r w:rsidRPr="003F1D72">
        <w:rPr>
          <w:rFonts w:ascii="Times New Roman" w:hAnsi="Times New Roman" w:cs="Times New Roman"/>
          <w:sz w:val="20"/>
          <w:szCs w:val="20"/>
        </w:rPr>
        <w:t xml:space="preserve">-Chiba band and outperforming unconstrained DTW in noise robustness. Singularity counts (horizontal/vertical path runs) are reduced (168 vs 286 for standard DTW), indicating mitigation of pathological warping. These results, while promising, are preliminary: clinical validation on the MIT-BIH Arrhythmia Database is planned to assess generalizability. The contribution is incremental—adapting classical band constraints via entropy rather than proposing a differentiable relaxation (e.g., Soft-DTW). Future work includes parameter sensitivity optimization (k, window bounds), real-data benchmarking, </w:t>
      </w:r>
      <w:proofErr w:type="spellStart"/>
      <w:r w:rsidRPr="003F1D72">
        <w:rPr>
          <w:rFonts w:ascii="Times New Roman" w:hAnsi="Times New Roman" w:cs="Times New Roman"/>
          <w:sz w:val="20"/>
          <w:szCs w:val="20"/>
        </w:rPr>
        <w:t>multilead</w:t>
      </w:r>
      <w:proofErr w:type="spellEnd"/>
      <w:r w:rsidRPr="003F1D72">
        <w:rPr>
          <w:rFonts w:ascii="Times New Roman" w:hAnsi="Times New Roman" w:cs="Times New Roman"/>
          <w:sz w:val="20"/>
          <w:szCs w:val="20"/>
        </w:rPr>
        <w:t xml:space="preserve"> extensions, and potential integration with learned feature representations.</w:t>
      </w:r>
    </w:p>
    <w:p w14:paraId="5C644F0F" w14:textId="00B1C8B6" w:rsidR="00A92F2A" w:rsidRPr="003F1D72" w:rsidRDefault="00A92F2A" w:rsidP="003F1D72">
      <w:pPr>
        <w:spacing w:after="71" w:line="259" w:lineRule="auto"/>
        <w:ind w:left="3355" w:firstLine="0"/>
        <w:jc w:val="left"/>
        <w:rPr>
          <w:rFonts w:ascii="Times New Roman" w:hAnsi="Times New Roman" w:cs="Times New Roman"/>
        </w:rPr>
      </w:pPr>
    </w:p>
    <w:p w14:paraId="14727370" w14:textId="22172F16" w:rsidR="003F1D72" w:rsidRPr="003F1D72" w:rsidRDefault="003F1D72" w:rsidP="003F1D72">
      <w:pPr>
        <w:pStyle w:val="Heading2"/>
        <w:spacing w:after="46" w:line="259" w:lineRule="auto"/>
        <w:ind w:left="5"/>
        <w:jc w:val="center"/>
        <w:rPr>
          <w:rFonts w:ascii="Times New Roman" w:hAnsi="Times New Roman" w:cs="Times New Roman"/>
        </w:rPr>
      </w:pPr>
      <w:r w:rsidRPr="003F1D72">
        <w:rPr>
          <w:rFonts w:ascii="Times New Roman" w:hAnsi="Times New Roman" w:cs="Times New Roman"/>
        </w:rPr>
        <w:drawing>
          <wp:inline distT="0" distB="0" distL="0" distR="0" wp14:anchorId="6E761730" wp14:editId="7DCC1814">
            <wp:extent cx="3882643" cy="1453079"/>
            <wp:effectExtent l="0" t="0" r="3810" b="0"/>
            <wp:docPr id="2097623387" name="Picture 1" descr="A close-up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23387" name="Picture 1" descr="A close-up of a graph"/>
                    <pic:cNvPicPr/>
                  </pic:nvPicPr>
                  <pic:blipFill>
                    <a:blip r:embed="rId7"/>
                    <a:stretch>
                      <a:fillRect/>
                    </a:stretch>
                  </pic:blipFill>
                  <pic:spPr>
                    <a:xfrm>
                      <a:off x="0" y="0"/>
                      <a:ext cx="3929498" cy="1470614"/>
                    </a:xfrm>
                    <a:prstGeom prst="rect">
                      <a:avLst/>
                    </a:prstGeom>
                  </pic:spPr>
                </pic:pic>
              </a:graphicData>
            </a:graphic>
          </wp:inline>
        </w:drawing>
      </w:r>
    </w:p>
    <w:p w14:paraId="0FCB93F4" w14:textId="77777777" w:rsidR="003F1D72" w:rsidRPr="003F1D72" w:rsidRDefault="003F1D72" w:rsidP="003F1D72">
      <w:pPr>
        <w:rPr>
          <w:rFonts w:ascii="Times New Roman" w:hAnsi="Times New Roman" w:cs="Times New Roman"/>
          <w:b/>
          <w:bCs/>
          <w:sz w:val="20"/>
          <w:szCs w:val="20"/>
        </w:rPr>
      </w:pPr>
      <w:r w:rsidRPr="003F1D72">
        <w:rPr>
          <w:rFonts w:ascii="Times New Roman" w:hAnsi="Times New Roman" w:cs="Times New Roman"/>
          <w:b/>
          <w:bCs/>
          <w:sz w:val="20"/>
          <w:szCs w:val="20"/>
        </w:rPr>
        <w:t>References</w:t>
      </w:r>
    </w:p>
    <w:p w14:paraId="0FF7C2F2" w14:textId="77777777" w:rsidR="003F1D72" w:rsidRPr="003F1D72" w:rsidRDefault="003F1D72" w:rsidP="003F1D72">
      <w:pPr>
        <w:rPr>
          <w:rFonts w:ascii="Times New Roman" w:hAnsi="Times New Roman" w:cs="Times New Roman"/>
          <w:sz w:val="16"/>
          <w:szCs w:val="16"/>
        </w:rPr>
      </w:pPr>
      <w:r w:rsidRPr="003F1D72">
        <w:rPr>
          <w:rFonts w:ascii="Times New Roman" w:hAnsi="Times New Roman" w:cs="Times New Roman"/>
          <w:sz w:val="16"/>
          <w:szCs w:val="16"/>
        </w:rPr>
        <w:t xml:space="preserve">[1] H. </w:t>
      </w:r>
      <w:proofErr w:type="spellStart"/>
      <w:r w:rsidRPr="003F1D72">
        <w:rPr>
          <w:rFonts w:ascii="Times New Roman" w:hAnsi="Times New Roman" w:cs="Times New Roman"/>
          <w:sz w:val="16"/>
          <w:szCs w:val="16"/>
        </w:rPr>
        <w:t>Sakoe</w:t>
      </w:r>
      <w:proofErr w:type="spellEnd"/>
      <w:r w:rsidRPr="003F1D72">
        <w:rPr>
          <w:rFonts w:ascii="Times New Roman" w:hAnsi="Times New Roman" w:cs="Times New Roman"/>
          <w:sz w:val="16"/>
          <w:szCs w:val="16"/>
        </w:rPr>
        <w:t xml:space="preserve"> and S. Chiba, "Dynamic programming algorithm optimization for spoken word recognition," </w:t>
      </w:r>
      <w:r w:rsidRPr="003F1D72">
        <w:rPr>
          <w:rFonts w:ascii="Times New Roman" w:hAnsi="Times New Roman" w:cs="Times New Roman"/>
          <w:i/>
          <w:iCs/>
          <w:sz w:val="16"/>
          <w:szCs w:val="16"/>
        </w:rPr>
        <w:t>IEEE Transactions on Acoustics, Speech, and Signal Processing</w:t>
      </w:r>
      <w:r w:rsidRPr="003F1D72">
        <w:rPr>
          <w:rFonts w:ascii="Times New Roman" w:hAnsi="Times New Roman" w:cs="Times New Roman"/>
          <w:sz w:val="16"/>
          <w:szCs w:val="16"/>
        </w:rPr>
        <w:t>, vol. 26, no. 1, pp. 43-49, 1978.</w:t>
      </w:r>
    </w:p>
    <w:p w14:paraId="2EFE8672" w14:textId="77777777" w:rsidR="003F1D72" w:rsidRPr="003F1D72" w:rsidRDefault="003F1D72" w:rsidP="003F1D72">
      <w:pPr>
        <w:rPr>
          <w:rFonts w:ascii="Times New Roman" w:hAnsi="Times New Roman" w:cs="Times New Roman"/>
          <w:sz w:val="16"/>
          <w:szCs w:val="16"/>
        </w:rPr>
      </w:pPr>
      <w:r w:rsidRPr="003F1D72">
        <w:rPr>
          <w:rFonts w:ascii="Times New Roman" w:hAnsi="Times New Roman" w:cs="Times New Roman"/>
          <w:sz w:val="16"/>
          <w:szCs w:val="16"/>
        </w:rPr>
        <w:t>[2] M. Müller, </w:t>
      </w:r>
      <w:r w:rsidRPr="003F1D72">
        <w:rPr>
          <w:rFonts w:ascii="Times New Roman" w:hAnsi="Times New Roman" w:cs="Times New Roman"/>
          <w:i/>
          <w:iCs/>
          <w:sz w:val="16"/>
          <w:szCs w:val="16"/>
        </w:rPr>
        <w:t>Information Retrieval for Music and Motion</w:t>
      </w:r>
      <w:r w:rsidRPr="003F1D72">
        <w:rPr>
          <w:rFonts w:ascii="Times New Roman" w:hAnsi="Times New Roman" w:cs="Times New Roman"/>
          <w:sz w:val="16"/>
          <w:szCs w:val="16"/>
        </w:rPr>
        <w:t>, Springer, New York, 2007.</w:t>
      </w:r>
    </w:p>
    <w:p w14:paraId="757896A8" w14:textId="77777777" w:rsidR="003F1D72" w:rsidRPr="003F1D72" w:rsidRDefault="003F1D72" w:rsidP="003F1D72">
      <w:pPr>
        <w:rPr>
          <w:rFonts w:ascii="Times New Roman" w:hAnsi="Times New Roman" w:cs="Times New Roman"/>
          <w:sz w:val="16"/>
          <w:szCs w:val="16"/>
        </w:rPr>
      </w:pPr>
      <w:r w:rsidRPr="003F1D72">
        <w:rPr>
          <w:rFonts w:ascii="Times New Roman" w:hAnsi="Times New Roman" w:cs="Times New Roman"/>
          <w:sz w:val="16"/>
          <w:szCs w:val="16"/>
        </w:rPr>
        <w:t xml:space="preserve">[3] C. A. </w:t>
      </w:r>
      <w:proofErr w:type="spellStart"/>
      <w:r w:rsidRPr="003F1D72">
        <w:rPr>
          <w:rFonts w:ascii="Times New Roman" w:hAnsi="Times New Roman" w:cs="Times New Roman"/>
          <w:sz w:val="16"/>
          <w:szCs w:val="16"/>
        </w:rPr>
        <w:t>Ratanamahatana</w:t>
      </w:r>
      <w:proofErr w:type="spellEnd"/>
      <w:r w:rsidRPr="003F1D72">
        <w:rPr>
          <w:rFonts w:ascii="Times New Roman" w:hAnsi="Times New Roman" w:cs="Times New Roman"/>
          <w:sz w:val="16"/>
          <w:szCs w:val="16"/>
        </w:rPr>
        <w:t xml:space="preserve"> and E. Keogh, "Everything you know about Dynamic Time Warping is wrong," in </w:t>
      </w:r>
      <w:r w:rsidRPr="003F1D72">
        <w:rPr>
          <w:rFonts w:ascii="Times New Roman" w:hAnsi="Times New Roman" w:cs="Times New Roman"/>
          <w:i/>
          <w:iCs/>
          <w:sz w:val="16"/>
          <w:szCs w:val="16"/>
        </w:rPr>
        <w:t>Third Workshop on Mining Temporal and Sequential Data</w:t>
      </w:r>
      <w:r w:rsidRPr="003F1D72">
        <w:rPr>
          <w:rFonts w:ascii="Times New Roman" w:hAnsi="Times New Roman" w:cs="Times New Roman"/>
          <w:sz w:val="16"/>
          <w:szCs w:val="16"/>
        </w:rPr>
        <w:t>, pp. 22-25, 2004.</w:t>
      </w:r>
    </w:p>
    <w:p w14:paraId="2E38A3AB" w14:textId="77777777" w:rsidR="003F1D72" w:rsidRPr="003F1D72" w:rsidRDefault="003F1D72" w:rsidP="003F1D72">
      <w:pPr>
        <w:rPr>
          <w:rFonts w:ascii="Times New Roman" w:hAnsi="Times New Roman" w:cs="Times New Roman"/>
          <w:sz w:val="16"/>
          <w:szCs w:val="16"/>
        </w:rPr>
      </w:pPr>
      <w:r w:rsidRPr="003F1D72">
        <w:rPr>
          <w:rFonts w:ascii="Times New Roman" w:hAnsi="Times New Roman" w:cs="Times New Roman"/>
          <w:sz w:val="16"/>
          <w:szCs w:val="16"/>
        </w:rPr>
        <w:t xml:space="preserve">[4] M. </w:t>
      </w:r>
      <w:proofErr w:type="spellStart"/>
      <w:r w:rsidRPr="003F1D72">
        <w:rPr>
          <w:rFonts w:ascii="Times New Roman" w:hAnsi="Times New Roman" w:cs="Times New Roman"/>
          <w:sz w:val="16"/>
          <w:szCs w:val="16"/>
        </w:rPr>
        <w:t>Cuturi</w:t>
      </w:r>
      <w:proofErr w:type="spellEnd"/>
      <w:r w:rsidRPr="003F1D72">
        <w:rPr>
          <w:rFonts w:ascii="Times New Roman" w:hAnsi="Times New Roman" w:cs="Times New Roman"/>
          <w:sz w:val="16"/>
          <w:szCs w:val="16"/>
        </w:rPr>
        <w:t xml:space="preserve"> and M. Blondel, "Soft-DTW: a differentiable loss function for time-series," in </w:t>
      </w:r>
      <w:r w:rsidRPr="003F1D72">
        <w:rPr>
          <w:rFonts w:ascii="Times New Roman" w:hAnsi="Times New Roman" w:cs="Times New Roman"/>
          <w:i/>
          <w:iCs/>
          <w:sz w:val="16"/>
          <w:szCs w:val="16"/>
        </w:rPr>
        <w:t>International Conference on Machine Learning</w:t>
      </w:r>
      <w:r w:rsidRPr="003F1D72">
        <w:rPr>
          <w:rFonts w:ascii="Times New Roman" w:hAnsi="Times New Roman" w:cs="Times New Roman"/>
          <w:sz w:val="16"/>
          <w:szCs w:val="16"/>
        </w:rPr>
        <w:t>, pp. 894-903, 2017.</w:t>
      </w:r>
    </w:p>
    <w:p w14:paraId="4DEB9BAE" w14:textId="77777777" w:rsidR="003F1D72" w:rsidRPr="003F1D72" w:rsidRDefault="003F1D72" w:rsidP="003F1D72">
      <w:pPr>
        <w:rPr>
          <w:rFonts w:ascii="Times New Roman" w:hAnsi="Times New Roman" w:cs="Times New Roman"/>
          <w:sz w:val="16"/>
          <w:szCs w:val="16"/>
        </w:rPr>
      </w:pPr>
      <w:r w:rsidRPr="003F1D72">
        <w:rPr>
          <w:rFonts w:ascii="Times New Roman" w:hAnsi="Times New Roman" w:cs="Times New Roman"/>
          <w:sz w:val="16"/>
          <w:szCs w:val="16"/>
        </w:rPr>
        <w:t>[5] J. Pan and W. J. Tompkins, "A Real-Time QRS Detection Algorithm," </w:t>
      </w:r>
      <w:r w:rsidRPr="003F1D72">
        <w:rPr>
          <w:rFonts w:ascii="Times New Roman" w:hAnsi="Times New Roman" w:cs="Times New Roman"/>
          <w:i/>
          <w:iCs/>
          <w:sz w:val="16"/>
          <w:szCs w:val="16"/>
        </w:rPr>
        <w:t>IEEE Transactions on Biomedical Engineering</w:t>
      </w:r>
      <w:r w:rsidRPr="003F1D72">
        <w:rPr>
          <w:rFonts w:ascii="Times New Roman" w:hAnsi="Times New Roman" w:cs="Times New Roman"/>
          <w:sz w:val="16"/>
          <w:szCs w:val="16"/>
        </w:rPr>
        <w:t>, vol. BME-32, no. 3, pp. 230-236, 1985.</w:t>
      </w:r>
    </w:p>
    <w:p w14:paraId="62C043C4" w14:textId="77777777" w:rsidR="003F1D72" w:rsidRPr="003F1D72" w:rsidRDefault="003F1D72" w:rsidP="003F1D72">
      <w:pPr>
        <w:rPr>
          <w:rFonts w:ascii="Times New Roman" w:hAnsi="Times New Roman" w:cs="Times New Roman"/>
          <w:sz w:val="16"/>
          <w:szCs w:val="16"/>
        </w:rPr>
      </w:pPr>
      <w:r w:rsidRPr="003F1D72">
        <w:rPr>
          <w:rFonts w:ascii="Times New Roman" w:hAnsi="Times New Roman" w:cs="Times New Roman"/>
          <w:sz w:val="16"/>
          <w:szCs w:val="16"/>
        </w:rPr>
        <w:t>[6] G. B. Moody and R. G. Mark, "The impact of the MIT-BIH Arrhythmia Database," </w:t>
      </w:r>
      <w:r w:rsidRPr="003F1D72">
        <w:rPr>
          <w:rFonts w:ascii="Times New Roman" w:hAnsi="Times New Roman" w:cs="Times New Roman"/>
          <w:i/>
          <w:iCs/>
          <w:sz w:val="16"/>
          <w:szCs w:val="16"/>
        </w:rPr>
        <w:t>IEEE Engineering in Medicine and Biology Magazine</w:t>
      </w:r>
      <w:r w:rsidRPr="003F1D72">
        <w:rPr>
          <w:rFonts w:ascii="Times New Roman" w:hAnsi="Times New Roman" w:cs="Times New Roman"/>
          <w:sz w:val="16"/>
          <w:szCs w:val="16"/>
        </w:rPr>
        <w:t>, vol. 20, no. 3, pp. 45-50, 2001.</w:t>
      </w:r>
    </w:p>
    <w:p w14:paraId="1E11D2A6" w14:textId="19C4AB08" w:rsidR="00A92F2A" w:rsidRPr="003F1D72" w:rsidRDefault="003F1D72" w:rsidP="003F1D72">
      <w:pPr>
        <w:rPr>
          <w:rFonts w:ascii="Times New Roman" w:hAnsi="Times New Roman" w:cs="Times New Roman"/>
          <w:sz w:val="16"/>
          <w:szCs w:val="16"/>
        </w:rPr>
      </w:pPr>
      <w:r w:rsidRPr="003F1D72">
        <w:rPr>
          <w:rFonts w:ascii="Times New Roman" w:hAnsi="Times New Roman" w:cs="Times New Roman"/>
          <w:sz w:val="16"/>
          <w:szCs w:val="16"/>
        </w:rPr>
        <w:t>[7] C. E. Shannon, "A mathematical theory of communication," </w:t>
      </w:r>
      <w:r w:rsidRPr="003F1D72">
        <w:rPr>
          <w:rFonts w:ascii="Times New Roman" w:hAnsi="Times New Roman" w:cs="Times New Roman"/>
          <w:i/>
          <w:iCs/>
          <w:sz w:val="16"/>
          <w:szCs w:val="16"/>
        </w:rPr>
        <w:t>Bell System Technical Journal</w:t>
      </w:r>
      <w:r w:rsidRPr="003F1D72">
        <w:rPr>
          <w:rFonts w:ascii="Times New Roman" w:hAnsi="Times New Roman" w:cs="Times New Roman"/>
          <w:sz w:val="16"/>
          <w:szCs w:val="16"/>
        </w:rPr>
        <w:t>, vol. 27, no. 3, pp. 379-423, 1948.</w:t>
      </w:r>
    </w:p>
    <w:sectPr w:rsidR="00A92F2A" w:rsidRPr="003F1D72">
      <w:headerReference w:type="default" r:id="rId8"/>
      <w:pgSz w:w="12240" w:h="15840"/>
      <w:pgMar w:top="1440" w:right="1426" w:bottom="1440" w:left="144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9609F" w14:textId="77777777" w:rsidR="003B7AD4" w:rsidRDefault="003B7AD4" w:rsidP="003F1D72">
      <w:pPr>
        <w:spacing w:after="0" w:line="240" w:lineRule="auto"/>
      </w:pPr>
      <w:r>
        <w:separator/>
      </w:r>
    </w:p>
  </w:endnote>
  <w:endnote w:type="continuationSeparator" w:id="0">
    <w:p w14:paraId="10C4A661" w14:textId="77777777" w:rsidR="003B7AD4" w:rsidRDefault="003B7AD4" w:rsidP="003F1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7697E" w14:textId="77777777" w:rsidR="003B7AD4" w:rsidRDefault="003B7AD4" w:rsidP="003F1D72">
      <w:pPr>
        <w:spacing w:after="0" w:line="240" w:lineRule="auto"/>
      </w:pPr>
      <w:r>
        <w:separator/>
      </w:r>
    </w:p>
  </w:footnote>
  <w:footnote w:type="continuationSeparator" w:id="0">
    <w:p w14:paraId="4593A827" w14:textId="77777777" w:rsidR="003B7AD4" w:rsidRDefault="003B7AD4" w:rsidP="003F1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CDEBD" w14:textId="7CEFDDBB" w:rsidR="003F1D72" w:rsidRDefault="003F1D72" w:rsidP="003F1D72">
    <w:pPr>
      <w:pStyle w:val="Header"/>
      <w:ind w:left="0" w:firstLine="0"/>
    </w:pPr>
    <w:r w:rsidRPr="003F1D72">
      <w:t>Seidenberg Annual Research Day 2025</w:t>
    </w:r>
    <w:r>
      <w:t xml:space="preserve"> </w:t>
    </w:r>
    <w:r>
      <w:tab/>
    </w:r>
    <w:r>
      <w:tab/>
    </w:r>
    <w:r w:rsidRPr="003F1D72">
      <w:t>December 5, 2025</w:t>
    </w:r>
  </w:p>
  <w:p w14:paraId="19FBBA21" w14:textId="77777777" w:rsidR="003F1D72" w:rsidRDefault="003F1D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64C7A"/>
    <w:multiLevelType w:val="hybridMultilevel"/>
    <w:tmpl w:val="02BEA69E"/>
    <w:lvl w:ilvl="0" w:tplc="9478352A">
      <w:start w:val="1"/>
      <w:numFmt w:val="decimal"/>
      <w:lvlText w:val="[%1]"/>
      <w:lvlJc w:val="left"/>
      <w:pPr>
        <w:ind w:left="3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7C28DB6">
      <w:start w:val="1"/>
      <w:numFmt w:val="lowerLetter"/>
      <w:lvlText w:val="%2"/>
      <w:lvlJc w:val="left"/>
      <w:pPr>
        <w:ind w:left="10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4B2D280">
      <w:start w:val="1"/>
      <w:numFmt w:val="lowerRoman"/>
      <w:lvlText w:val="%3"/>
      <w:lvlJc w:val="left"/>
      <w:pPr>
        <w:ind w:left="18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A720A30">
      <w:start w:val="1"/>
      <w:numFmt w:val="decimal"/>
      <w:lvlText w:val="%4"/>
      <w:lvlJc w:val="left"/>
      <w:pPr>
        <w:ind w:left="25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CB2099C">
      <w:start w:val="1"/>
      <w:numFmt w:val="lowerLetter"/>
      <w:lvlText w:val="%5"/>
      <w:lvlJc w:val="left"/>
      <w:pPr>
        <w:ind w:left="32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8A248DE">
      <w:start w:val="1"/>
      <w:numFmt w:val="lowerRoman"/>
      <w:lvlText w:val="%6"/>
      <w:lvlJc w:val="left"/>
      <w:pPr>
        <w:ind w:left="39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BC21AF2">
      <w:start w:val="1"/>
      <w:numFmt w:val="decimal"/>
      <w:lvlText w:val="%7"/>
      <w:lvlJc w:val="left"/>
      <w:pPr>
        <w:ind w:left="46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FEC9936">
      <w:start w:val="1"/>
      <w:numFmt w:val="lowerLetter"/>
      <w:lvlText w:val="%8"/>
      <w:lvlJc w:val="left"/>
      <w:pPr>
        <w:ind w:left="54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452BD9E">
      <w:start w:val="1"/>
      <w:numFmt w:val="lowerRoman"/>
      <w:lvlText w:val="%9"/>
      <w:lvlJc w:val="left"/>
      <w:pPr>
        <w:ind w:left="61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933733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F2A"/>
    <w:rsid w:val="000555F8"/>
    <w:rsid w:val="003B7AD4"/>
    <w:rsid w:val="003F1D72"/>
    <w:rsid w:val="005656F6"/>
    <w:rsid w:val="00A92F2A"/>
    <w:rsid w:val="00E76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08C75"/>
  <w15:docId w15:val="{70E87A4D-207F-43DF-B3B4-9E84FFD3D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25" w:lineRule="auto"/>
      <w:ind w:left="332" w:hanging="332"/>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25"/>
      <w:jc w:val="center"/>
      <w:outlineLvl w:val="0"/>
    </w:pPr>
    <w:rPr>
      <w:rFonts w:ascii="Courier New" w:eastAsia="Courier New" w:hAnsi="Courier New" w:cs="Courier New"/>
      <w:color w:val="000000"/>
      <w:sz w:val="52"/>
    </w:rPr>
  </w:style>
  <w:style w:type="paragraph" w:styleId="Heading2">
    <w:name w:val="heading 2"/>
    <w:next w:val="Normal"/>
    <w:link w:val="Heading2Char"/>
    <w:uiPriority w:val="9"/>
    <w:unhideWhenUsed/>
    <w:qFormat/>
    <w:pPr>
      <w:keepNext/>
      <w:keepLines/>
      <w:spacing w:after="218" w:line="263" w:lineRule="auto"/>
      <w:outlineLvl w:val="1"/>
    </w:pPr>
    <w:rPr>
      <w:rFonts w:ascii="Calibri" w:eastAsia="Calibri" w:hAnsi="Calibri" w:cs="Calibri"/>
      <w:color w:val="000000"/>
      <w:sz w:val="3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34"/>
    </w:rPr>
  </w:style>
  <w:style w:type="character" w:customStyle="1" w:styleId="Heading1Char">
    <w:name w:val="Heading 1 Char"/>
    <w:link w:val="Heading1"/>
    <w:rPr>
      <w:rFonts w:ascii="Courier New" w:eastAsia="Courier New" w:hAnsi="Courier New" w:cs="Courier New"/>
      <w:color w:val="000000"/>
      <w:sz w:val="52"/>
    </w:rPr>
  </w:style>
  <w:style w:type="paragraph" w:styleId="Header">
    <w:name w:val="header"/>
    <w:basedOn w:val="Normal"/>
    <w:link w:val="HeaderChar"/>
    <w:uiPriority w:val="99"/>
    <w:unhideWhenUsed/>
    <w:rsid w:val="003F1D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D72"/>
    <w:rPr>
      <w:rFonts w:ascii="Calibri" w:eastAsia="Calibri" w:hAnsi="Calibri" w:cs="Calibri"/>
      <w:color w:val="000000"/>
    </w:rPr>
  </w:style>
  <w:style w:type="paragraph" w:styleId="Footer">
    <w:name w:val="footer"/>
    <w:basedOn w:val="Normal"/>
    <w:link w:val="FooterChar"/>
    <w:uiPriority w:val="99"/>
    <w:unhideWhenUsed/>
    <w:rsid w:val="003F1D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D72"/>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sardtemplate.pdf</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sardtemplate.pdf</dc:title>
  <dc:subject/>
  <dc:creator>Fnu Ashutosh</dc:creator>
  <cp:keywords/>
  <cp:lastModifiedBy>Fnu Ashutosh</cp:lastModifiedBy>
  <cp:revision>3</cp:revision>
  <cp:lastPrinted>2025-11-22T00:41:00Z</cp:lastPrinted>
  <dcterms:created xsi:type="dcterms:W3CDTF">2025-11-22T00:40:00Z</dcterms:created>
  <dcterms:modified xsi:type="dcterms:W3CDTF">2025-11-22T00:41:00Z</dcterms:modified>
</cp:coreProperties>
</file>