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2A7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6"/>
          <w:b w:val="on"/>
        </w:rPr>
        <w:t>Interim Report, Beijer Electronics Group AB</w:t>
      </w:r>
    </w:p>
    <w:p w14:paraId="66140C6B"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2"/>
          <w:b w:val="on"/>
        </w:rPr>
        <w:t>1January-30June 2021</w:t>
      </w:r>
    </w:p>
    <w:p w14:paraId="2A2D4202"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2"/>
          <w:b w:val="on"/>
        </w:rPr>
        <w:t> </w:t>
      </w:r>
    </w:p>
    <w:p w14:paraId="254A181A"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Big boost to order intake sets a stable base for higher sales and improved earnings</w:t>
      </w:r>
    </w:p>
    <w:p w14:paraId="268B5AF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4B2D6E14"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Second quarter</w:t>
      </w:r>
    </w:p>
    <w:p w14:paraId="28E4BF85"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6A942B61"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 intake increased by 53% to 53MSEK (335).</w:t>
      </w:r>
    </w:p>
    <w:p w14:paraId="51510ED0"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 sales rose by 9% to 390MSEK (357).</w:t>
      </w:r>
    </w:p>
    <w:p w14:paraId="2DB234F4"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xml:space="preserve">EBIT amounted to 9,8MSEK (7.9). </w:t>
      </w:r>
    </w:p>
    <w:p w14:paraId="28A643FE"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Profit after tax of 1,9MSEK (4.4).</w:t>
      </w:r>
    </w:p>
    <w:p w14:paraId="0D8B2877"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Earnings per share were 0,07SEK (0.16).</w:t>
      </w:r>
    </w:p>
    <w:p w14:paraId="2E9C11C2"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b w:val="off"/>
        </w:rPr>
        <w:t> </w:t>
      </w:r>
    </w:p>
    <w:p w14:paraId="3461FF9E" w14:textId="77777777" w:rsidR="00DC088E" w:rsidRDefault="00DC088E" w:rsidP="00DC088E">
      <w:pPr>
        <w:rPr>
          <w:rFonts w:ascii="Calibri" w:eastAsia="Times New Roman" w:hAnsi="Calibri" w:cs="Calibri"/>
          <w:b/>
          <w:bCs/>
          <w:color w:val="000000"/>
          <w:sz w:val="22"/>
          <w:szCs w:val="22"/>
          <w:lang w:eastAsia="en-GB"/>
        </w:rPr>
      </w:pPr>
      <w:r>
        <w:rPr>
          <w:rFonts w:ascii="Calibri" w:hAnsi="Calibri" w:cs="Calibri" w:eastAsia="Calibri"/>
          <w:sz w:val="22"/>
          <w:b w:val="on"/>
        </w:rPr>
        <w:t>First half-year</w:t>
      </w:r>
    </w:p>
    <w:p w14:paraId="2E981675" w14:textId="77777777" w:rsidR="00DC088E" w:rsidRPr="001769E1" w:rsidRDefault="00DC088E" w:rsidP="00DC088E">
      <w:pPr>
        <w:rPr>
          <w:rFonts w:ascii="Times New Roman" w:eastAsia="Times New Roman" w:hAnsi="Times New Roman" w:cs="Times New Roman"/>
          <w:lang w:eastAsia="en-GB"/>
        </w:rPr>
      </w:pPr>
    </w:p>
    <w:p w14:paraId="1BA259FA"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 intake increased by 26% to 26MSEK (741).</w:t>
      </w:r>
    </w:p>
    <w:p w14:paraId="3E628CA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 sales of 741MSEK (753).</w:t>
      </w:r>
    </w:p>
    <w:p w14:paraId="65BA014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xml:space="preserve">EBIT amounted to 14,5MSEK (16.3). </w:t>
      </w:r>
    </w:p>
    <w:p w14:paraId="2BCF3C16"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Profit after tax of 3,6MSEK (4.4).</w:t>
      </w:r>
    </w:p>
    <w:p w14:paraId="4840DC2D"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Earnings per share were 0,12SEK (0.16).</w:t>
      </w:r>
    </w:p>
    <w:p w14:paraId="7B4B8F6C"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Acquisition of ELTEC of Germany.</w:t>
      </w:r>
    </w:p>
    <w:p w14:paraId="1CCA23B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11C8D22A"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Comments from CEO Per Samuelsson:</w:t>
      </w:r>
    </w:p>
    <w:p w14:paraId="60334EF3"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2B68BB3C"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“BEIJER GROUP’s order intake set a new record in the second quarter. With an increase of over 50%, we passed 50MSEK order intake in a single quarter for the first time. This is a sign of strength, and evidence that our growth strategies are now paying off. We’ve also noted how the upturn is broad based, covering all three of the Group’s business entities, and all geographical regions.</w:t>
      </w:r>
    </w:p>
    <w:p w14:paraId="6BE3C968"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2787E794" w14:textId="77777777" w:rsidR="00070ED1" w:rsidRDefault="00DC088E" w:rsidP="00DC088E">
      <w:pPr>
        <w:rPr>
          <w:rFonts w:ascii="Times New Roman" w:eastAsia="Times New Roman" w:hAnsi="Times New Roman" w:cs="Times New Roman"/>
          <w:lang w:eastAsia="en-GB"/>
        </w:rPr>
      </w:pPr>
      <w:r>
        <w:rPr>
          <w:rFonts w:ascii="Calibri" w:hAnsi="Calibri" w:cs="Calibri" w:eastAsia="Calibri"/>
          <w:sz w:val="22"/>
          <w:b w:val="off"/>
        </w:rPr>
        <w:t xml:space="preserve">It is also a sign that the effects of the pandemic and Covid-19on demand are starting to fade. However, the global shortage of certain key components does persist, which means that several products will not be fully complete according to plan, causing disruptions to supply chains. This impacted BEIJER GROUP’s shipments in the second quarter, and the first.We think that the loss of sales resulting from the component shortage that have restricted shipments was 11-12% of sales in the second quarter, or nearly 53b0a1b2fadf4e040cdc2155a7340de24aca93cbMSEK. </w:t>
      </w:r>
    </w:p>
    <w:p w14:paraId="2B9A9951" w14:textId="6801C8F9"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64F889A5"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xml:space="preserve">The Group was still able to increase sales by 9% to almost 24MSEK in the period. In this context, I’d like to acknowledge how my co-workers have succeeded in dealing with the challenges of the component shortage through flexibility, finding new solutions and re-planning.EBIT was up by 24%, but negatively impacted by the loss of sales. As CEO, I can state that earnings are too low, and that there is clearly some way to go to achieve our profitability targets. But I’m confident that we’re going in the right direction, and I’m optimistic about our future. </w:t>
      </w:r>
    </w:p>
    <w:p w14:paraId="2DC57B40"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668ED086" w14:textId="0C1606D7" w:rsidR="00952453" w:rsidRDefault="00DC088E" w:rsidP="00DC088E">
      <w:r w:rsidRPr="001769E1">
        <w:rPr>
          <w:rFonts w:ascii="Calibri" w:eastAsia="Times New Roman" w:hAnsi="Calibri" w:cs="Calibri"/>
          <w:color w:val="000000"/>
          <w:sz w:val="22"/>
          <w:szCs w:val="22"/>
          <w:lang w:eastAsia="en-GB"/>
        </w:rPr>
        <w:t>Det är också viktigt att betona att problemen med leveranserna hänger samman med komponentbristen och inte interna kapacitetsproblem. Vi har valt att bygga upp ett visst lager av produkter för att snabbt kunna leverera när väl den enskilda komponenten är på plats.</w:t>
      </w:r>
    </w:p>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8E"/>
    <w:rsid w:val="00070ED1"/>
    <w:rsid w:val="00A2177D"/>
    <w:rsid w:val="00DC088E"/>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68409"/>
  <w15:chartTrackingRefBased/>
  <w15:docId w15:val="{94E2013A-D5BE-7849-BAF5-AF3CB98A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2021-08-16T12:06:00Z</dcterms:created>
  <dc:creator>Turner, Gabriel</dc:creator>
  <cp:lastModifiedBy>Turner, Gabriel</cp:lastModifiedBy>
  <dcterms:modified xsi:type="dcterms:W3CDTF">2021-08-16T18:47:00Z</dcterms:modified>
  <cp:revision>2</cp:revision>
</cp:coreProperties>
</file>