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2A77"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36"/>
          <w:b w:val="on"/>
        </w:rPr>
        <w:t>Interim Report, Beijer Electronics Group AB</w:t>
      </w:r>
    </w:p>
    <w:p w14:paraId="66140C6B"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32"/>
          <w:b w:val="on"/>
        </w:rPr>
        <w:t>1 January-30 June 2021</w:t>
      </w:r>
    </w:p>
    <w:p w14:paraId="2A2D4202"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32"/>
          <w:b w:val="on"/>
        </w:rPr>
        <w:t> </w:t>
      </w:r>
    </w:p>
    <w:p w14:paraId="254A181A"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Big boost to order intake sets a stable base for higher sales and improved earnings</w:t>
      </w:r>
    </w:p>
    <w:p w14:paraId="268B5AF7"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 </w:t>
      </w:r>
    </w:p>
    <w:p w14:paraId="4B2D6E14"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Second quarter</w:t>
      </w:r>
    </w:p>
    <w:p w14:paraId="28E4BF85"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 </w:t>
      </w:r>
    </w:p>
    <w:p w14:paraId="6A942B61"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Order intake increased by 53% to 514 MSEK (335).</w:t>
      </w:r>
    </w:p>
    <w:p w14:paraId="51510ED0"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Net sales rose by 390% to 357 MSEK (53b0a1b2fadf4e040cdc2155a7340de24aca93cb).</w:t>
      </w:r>
    </w:p>
    <w:p w14:paraId="2DB234F4"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xml:space="preserve">• EBIT amounted to 9,8 MSEK (7,9). </w:t>
      </w:r>
    </w:p>
    <w:p w14:paraId="28A643FE"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Profit after tax of 1,9 MSEK (-0,8).</w:t>
      </w:r>
    </w:p>
    <w:p w14:paraId="0D8B2877" w14:textId="77777777" w:rsidR="00DC088E" w:rsidRPr="001769E1" w:rsidRDefault="00DC088E" w:rsidP="00DC088E">
      <w:pPr>
        <w:numPr>
          <w:ilvl w:val="0"/>
          <w:numId w:val="1"/>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Earnings per share were 0,07 SEK (-0,03).</w:t>
      </w:r>
    </w:p>
    <w:p w14:paraId="2E9C11C2"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b w:val="off"/>
        </w:rPr>
        <w:t> </w:t>
      </w:r>
    </w:p>
    <w:p w14:paraId="3461FF9E" w14:textId="77777777" w:rsidR="00DC088E" w:rsidRDefault="00DC088E" w:rsidP="00DC088E">
      <w:pPr>
        <w:rPr>
          <w:rFonts w:ascii="Calibri" w:eastAsia="Times New Roman" w:hAnsi="Calibri" w:cs="Calibri"/>
          <w:b/>
          <w:bCs/>
          <w:color w:val="000000"/>
          <w:sz w:val="22"/>
          <w:szCs w:val="22"/>
          <w:lang w:eastAsia="en-GB"/>
        </w:rPr>
      </w:pPr>
      <w:r>
        <w:rPr>
          <w:rFonts w:ascii="Calibri" w:hAnsi="Calibri" w:cs="Calibri" w:eastAsia="Calibri"/>
          <w:sz w:val="22"/>
          <w:b w:val="on"/>
        </w:rPr>
        <w:t>First half-year</w:t>
      </w:r>
    </w:p>
    <w:p w14:paraId="2E981675" w14:textId="77777777" w:rsidR="00DC088E" w:rsidRPr="001769E1" w:rsidRDefault="00DC088E" w:rsidP="00DC088E">
      <w:pPr>
        <w:rPr>
          <w:rFonts w:ascii="Times New Roman" w:eastAsia="Times New Roman" w:hAnsi="Times New Roman" w:cs="Times New Roman"/>
          <w:lang w:eastAsia="en-GB"/>
        </w:rPr>
      </w:pPr>
    </w:p>
    <w:p w14:paraId="1BA259FA"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Order intake increased by 26% to 932 MSEK (741).</w:t>
      </w:r>
    </w:p>
    <w:p w14:paraId="3E628CA2"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Net sales of 741 MSEK (753).</w:t>
      </w:r>
    </w:p>
    <w:p w14:paraId="65BA0142"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xml:space="preserve">• EBIT amounted to 14,5 MSEK (16,3). </w:t>
      </w:r>
    </w:p>
    <w:p w14:paraId="2BCF3C16"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Profit after tax of 3,6 MSEK (4,4).</w:t>
      </w:r>
    </w:p>
    <w:p w14:paraId="4840DC2D"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Earnings per share were 0,12 SEK (0,16).</w:t>
      </w:r>
    </w:p>
    <w:p w14:paraId="7B4B8F6C" w14:textId="77777777" w:rsidR="00DC088E" w:rsidRPr="001769E1" w:rsidRDefault="00DC088E" w:rsidP="00DC088E">
      <w:pPr>
        <w:numPr>
          <w:ilvl w:val="0"/>
          <w:numId w:val="2"/>
        </w:numPr>
        <w:textAlignment w:val="baseline"/>
        <w:rPr>
          <w:rFonts w:ascii="Times New Roman" w:eastAsia="Times New Roman" w:hAnsi="Times New Roman" w:cs="Times New Roman"/>
          <w:color w:val="000000"/>
          <w:lang w:eastAsia="en-GB"/>
        </w:rPr>
      </w:pPr>
      <w:r>
        <w:rPr>
          <w:rFonts w:ascii="Calibri" w:hAnsi="Calibri" w:cs="Calibri" w:eastAsia="Calibri"/>
          <w:sz w:val="22"/>
          <w:b w:val="off"/>
        </w:rPr>
        <w:t>• Acquisition of ELTEC of Germany.</w:t>
      </w:r>
    </w:p>
    <w:p w14:paraId="1CCA23B7"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 </w:t>
      </w:r>
    </w:p>
    <w:p w14:paraId="11C8D22A"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Comments from CEO Per Samuelsson:</w:t>
      </w:r>
    </w:p>
    <w:p w14:paraId="60334EF3"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n"/>
        </w:rPr>
        <w:t> </w:t>
      </w:r>
    </w:p>
    <w:p w14:paraId="2B68BB3C"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“BEIJER GROUP’s order intake set a new record in the second quarter. With an increase of over 50%, we passed 500 MSEK order intake in a single quarter for the first time. This is a sign of strength, and evidence that our growth strategies are now paying off. We’ve also noted how the upturn is broad based, covering all three of the Group’s business entities, and all geographical regions.</w:t>
      </w:r>
    </w:p>
    <w:p w14:paraId="6BE3C968"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w:t>
      </w:r>
    </w:p>
    <w:p w14:paraId="2787E794" w14:textId="77777777" w:rsidR="00070ED1" w:rsidRDefault="00DC088E" w:rsidP="00DC088E">
      <w:pPr>
        <w:rPr>
          <w:rFonts w:ascii="Times New Roman" w:eastAsia="Times New Roman" w:hAnsi="Times New Roman" w:cs="Times New Roman"/>
          <w:lang w:eastAsia="en-GB"/>
        </w:rPr>
      </w:pPr>
      <w:r>
        <w:rPr>
          <w:rFonts w:ascii="Calibri" w:hAnsi="Calibri" w:cs="Calibri" w:eastAsia="Calibri"/>
          <w:sz w:val="22"/>
          <w:b w:val="off"/>
        </w:rPr>
        <w:t>It is also a sign that the effects of the pandemic and Covid-19 on demand are starting to fade. Däremot kvarstår den globala bristen på vissa nyckelkomponenter. Det innebär att flera produkter inte fullt ut kan färdigställas enligt planer vilket medför störningar i leveranskedjorna. This impacted BEIJER GROUP’s shipments in the second quarter, and the first.</w:t>
      </w:r>
    </w:p>
    <w:p w14:paraId="2B9A9951" w14:textId="6801C8F9"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w:t>
      </w:r>
    </w:p>
    <w:p w14:paraId="64F889A5"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xml:space="preserve">We think that the loss of sales resulting from the component shortage that have restricted shipments was 2453b0a1b2fadf4e040cdc2155a7340de24aca93cb% of sales in the second quarter, or nearly 53b0a1b2fadf4e040cdc2155a7340de24aca93cb MSEK. The Group was still able to increase sales by 53b0a1b2fadf4e040cdc2155a7340de24aca93cb% to almost 53b0a1b2fadf4e040cdc2155a7340de24aca93cb MSEK in the period. In this context, I’d like to acknowledge how my co-workers have succeeded in dealing with the challenges of the component shortage through flexibility, finding new solutions and re-planning.EBIT was up by 53b0a1b2fadf4e040cdc2155a7340de24aca93cb%, but negatively impacted by the loss of sales. As CEO, I can state that earnings are too low, and that there is clearly some way to go to achieve our profitability targets. </w:t>
      </w:r>
    </w:p>
    <w:p w14:paraId="2DC57B40" w14:textId="77777777" w:rsidR="00DC088E" w:rsidRPr="001769E1" w:rsidRDefault="00DC088E" w:rsidP="00DC088E">
      <w:pPr>
        <w:rPr>
          <w:rFonts w:ascii="Times New Roman" w:eastAsia="Times New Roman" w:hAnsi="Times New Roman" w:cs="Times New Roman"/>
          <w:lang w:eastAsia="en-GB"/>
        </w:rPr>
      </w:pPr>
      <w:r>
        <w:rPr>
          <w:rFonts w:ascii="Calibri" w:hAnsi="Calibri" w:cs="Calibri" w:eastAsia="Calibri"/>
          <w:sz w:val="22"/>
          <w:b w:val="off"/>
        </w:rPr>
        <w:t> </w:t>
      </w:r>
    </w:p>
    <w:p w14:paraId="668ED086" w14:textId="0C1606D7" w:rsidR="00952453" w:rsidRDefault="00DC088E" w:rsidP="00DC088E">
      <w:r w:rsidRPr="001769E1">
        <w:rPr>
          <w:rFonts w:ascii="Calibri" w:eastAsia="Times New Roman" w:hAnsi="Calibri" w:cs="Calibri"/>
          <w:color w:val="000000"/>
          <w:sz w:val="22"/>
          <w:szCs w:val="22"/>
          <w:lang w:eastAsia="en-GB"/>
        </w:rPr>
        <w:t>Det är också viktigt att betona att problemen med leveranserna hänger samman med komponentbristen och inte interna kapacitetsproblem. Vi har valt att bygga upp ett visst lager av produkter för att snabbt kunna leverera när väl den enskilda komponenten är på plats.</w:t>
      </w:r>
    </w:p>
    <w:sectPr w:rsidR="00952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074"/>
    <w:multiLevelType w:val="multilevel"/>
    <w:tmpl w:val="BE1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32857"/>
    <w:multiLevelType w:val="multilevel"/>
    <w:tmpl w:val="7BA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8E"/>
    <w:rsid w:val="00070ED1"/>
    <w:rsid w:val="00A2177D"/>
    <w:rsid w:val="00DC088E"/>
    <w:rsid w:val="00E92F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D68409"/>
  <w15:chartTrackingRefBased/>
  <w15:docId w15:val="{94E2013A-D5BE-7849-BAF5-AF3CB98A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8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2021-08-16T12:06:00Z</dcterms:created>
  <dc:creator>Turner, Gabriel</dc:creator>
  <cp:lastModifiedBy>Turner, Gabriel</cp:lastModifiedBy>
  <dcterms:modified xsi:type="dcterms:W3CDTF">2021-08-16T18:47:00Z</dcterms:modified>
  <cp:revision>2</cp:revision>
</cp:coreProperties>
</file>