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10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6"/>
          <w:b w:val="on"/>
        </w:rPr>
        <w:t>Delårsrapport för Beijer Electronics Group AB</w:t>
      </w:r>
    </w:p>
    <w:p w14:paraId="0E245E6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2"/>
          <w:b w:val="on"/>
        </w:rPr>
        <w:t>1 januari-30 juni 2021</w:t>
      </w:r>
    </w:p>
    <w:p w14:paraId="2446757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2"/>
          <w:b w:val="on"/>
        </w:rPr>
        <w:t> </w:t>
      </w:r>
    </w:p>
    <w:p w14:paraId="3E159DE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Stort lyft i orderingången ger stabil bas för högre försäljning och förbättrade resultat</w:t>
      </w:r>
    </w:p>
    <w:p w14:paraId="5E57F69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6F9CF8B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Andra kvartalet</w:t>
      </w:r>
    </w:p>
    <w:p w14:paraId="73FE853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06491E7F"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Orderingången steg 53 med procent till 514 mkr (335).</w:t>
      </w:r>
    </w:p>
    <w:p w14:paraId="3E239254"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Nettoomsättningen ökade med nio procent till 390 mkr (357).</w:t>
      </w:r>
    </w:p>
    <w:p w14:paraId="75B17016"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Rörelseresultatet uppgick till 9,8 mkr (7,9).</w:t>
      </w:r>
    </w:p>
    <w:p w14:paraId="3325F873"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Resultatet efter skatt uppgick till 1,9 mkr (-0,8).</w:t>
      </w:r>
    </w:p>
    <w:p w14:paraId="52B92260"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Resultatet per aktie blev 0,07 kronor (-0,03).</w:t>
      </w:r>
    </w:p>
    <w:p w14:paraId="2368AB7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
          <w:b w:val="off"/>
        </w:rPr>
        <w:t> </w:t>
      </w:r>
    </w:p>
    <w:p w14:paraId="0186F855" w14:textId="39E93813" w:rsidR="001769E1" w:rsidRDefault="001769E1" w:rsidP="001769E1">
      <w:pPr>
        <w:rPr>
          <w:rFonts w:ascii="Calibri" w:eastAsia="Times New Roman" w:hAnsi="Calibri" w:cs="Calibri"/>
          <w:b/>
          <w:bCs/>
          <w:color w:val="000000"/>
          <w:sz w:val="22"/>
          <w:szCs w:val="22"/>
          <w:lang w:eastAsia="en-GB"/>
        </w:rPr>
      </w:pPr>
      <w:r>
        <w:rPr>
          <w:rFonts w:ascii="Calibri" w:hAnsi="Calibri" w:cs="Calibri" w:eastAsia="Calibri"/>
          <w:sz w:val="22"/>
          <w:b w:val="on"/>
        </w:rPr>
        <w:t>Första halvåret</w:t>
      </w:r>
    </w:p>
    <w:p w14:paraId="4318F4B6" w14:textId="77777777" w:rsidR="00F976A0" w:rsidRPr="001769E1" w:rsidRDefault="00F976A0" w:rsidP="001769E1">
      <w:pPr>
        <w:rPr>
          <w:rFonts w:ascii="Times New Roman" w:eastAsia="Times New Roman" w:hAnsi="Times New Roman" w:cs="Times New Roman"/>
          <w:lang w:eastAsia="en-GB"/>
        </w:rPr>
      </w:pPr>
    </w:p>
    <w:p w14:paraId="31F19146"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Orderingången steg med 26 procent till 932 mkr (741).</w:t>
      </w:r>
    </w:p>
    <w:p w14:paraId="1B5EED5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Nettoomsättningen uppgick till 741 mkr (753).</w:t>
      </w:r>
    </w:p>
    <w:p w14:paraId="23C40FD1"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Rörelseresultatet blev 14,5 mkr (16,3).</w:t>
      </w:r>
    </w:p>
    <w:p w14:paraId="339F81A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Resultatet efter skatt uppgick till 3,6 mkr (4,4).</w:t>
      </w:r>
    </w:p>
    <w:p w14:paraId="093DD91F"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Resultatet per aktie blev 0,12 kronor (0,16).</w:t>
      </w:r>
    </w:p>
    <w:p w14:paraId="24BF363E"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Förvärv av tyska ELTEC.</w:t>
      </w:r>
    </w:p>
    <w:p w14:paraId="5690BEA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09EEF1D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VD Per Samuelsson kommenterar:</w:t>
      </w:r>
    </w:p>
    <w:p w14:paraId="2EC1575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4A409D5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”BEIJER GROUPs orderingång satte ett nytt rekord under det andra kvartaletMed en uppgång på över 50 procent passerade vi för första gången 500 mkr i orderingång under ett enskilt kvartalDet är ett styrkebesked och ett kvitto på att våra tillväxtstrategier nu ger resultatVi kan även notera att uppgången är bred och omfattar såväl koncernens tre affärsenheter som alla geografiska regioner.</w:t>
      </w:r>
    </w:p>
    <w:p w14:paraId="2BDFF7C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4A32695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Uppgången är också ett tecken på att effekterna på efterfrågan från pandemin och covid-19 börjar klinga avDäremot kvarstår den globala bristen på vissa nyckelkomponenterDet innebär att flera produkter inte fullt ut kan färdigställas enligt planer vilket medför störningar i leveranskedjornaDet påverkade BEIJER GROUPs leveranser under det andra kvartalet liksom under det första kvartalet.</w:t>
      </w:r>
    </w:p>
    <w:p w14:paraId="0AFFD75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3F603CC"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Vi bedömer att bortfallet i omsättning till följd av komponentbristen som hämmat leveranserna uppgick till 11-12 procent av försäljningen under det andra kvartalet motsvarande nästan 50 mkrKoncernen kunde ändå öka sin försäljning med nio procent till närmare 390 mkr under periodenJag vill i sammanhanget ge organisationen ett erkännande hur den och medarbetarna lyckats hantera utmaningarna med komponentbristen genom flexibilitet, att hitta nya lösningar och omplaneringar.</w:t>
      </w:r>
    </w:p>
    <w:p w14:paraId="5FFC69F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717B410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Rörelseresultatet steg med 24 procent men det påverkades negativt av bortfallet i omsättningJag kan som VD konstatera att resultatet ligger på en för låg nivå och att det till synes är en bit kvar till att nå våra lönsamhetsmålMen jag har god tillförsikt i att vi är på rätt väg och hyser optimism inför framtidenVårt resultat under andra kvartalet kunde ha varit väsentligt högre om vi haft en normal leveranssituationKomponentbristen har även medfört inslag av höjda priser på nyckelkomponenter som kommer att föras vidare till nästa led under kommande kvartal.</w:t>
      </w:r>
    </w:p>
    <w:p w14:paraId="207A071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46E4ED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Det är också viktigt att betona att problemen med leveranserna hänger samman med komponentbristen och inte interna kapacitetsproblemVi har valt att bygga upp ett visst lager av produkter för att snabbt kunna leverera när väl den enskilda komponenten är på platsUppbyggnaden av lager har förutom resultatpåverkan medfört ett negativt kassaflöde under perioden som kommer att vändas till ett positivt kassaflöde efter leveransBEIJER GROUPs totala leveranskapacitet och under normala flöden av komponenter bedöms mer än väl överstiga takten i orderingången under det andra kvartalet.</w:t>
      </w:r>
    </w:p>
    <w:p w14:paraId="16D2D63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1709C2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tre affärsenheter visade en positiv utveckling avseende orderingång och omsättningWestermos orderingång steg med 40 procent och försäljningen med nio procentAffärsenheten erhöll en större order på 36 mkr inom ramen för ett ramavtal med en nordamerikansk tågoperatörTyska ELTEC som förvärvades under det första kvartalet har utvecklats över förväntan och bidrog positivt till Westermos affärAffärsenhetens rörelseresultat blev något lägre under perioden beroende på stigande komponentpriser och uteblivna leveranser till följd av komponentbristen.</w:t>
      </w:r>
    </w:p>
    <w:p w14:paraId="48224E8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72BF8F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Westermo nådde också en milstolpe under kvartalet genom lanseringen av en nya switchar inom det nya segmentet eldistributionWestermo har nu en konkurrenskraftig produktportfölj för automatisering av ställverk och digitalisering av energisystem vilket är i linje med affärsenhetens tillväxtstrategi.</w:t>
      </w:r>
    </w:p>
    <w:p w14:paraId="1CFA3C9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46F2930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Beijer Electronics orderingång steg med närmare 80 procent och uppgick till över 200 mkr för andra kvartalet i radFörsäljningen steg med sju procent och rörelseresultatet vändes från ett minus till ett nollresultatSåväl försäljning som resultat har påverkats negativt av komponentbristen och stigande komponentpriserAffärsenheten Korenix utvecklades likaså positivt efter de senaste årens betydande omställningarOrderingång och försäljning ökade med närmare 30 procent och affärsenheten kunde visa ett nollresultat efter en relativt stor rörelseförlust förra året.</w:t>
      </w:r>
    </w:p>
    <w:p w14:paraId="62FEE27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74292D2"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&amp;&amp;Sammantaget är vi nöjda med den fina tillväxten i koncernens orderingångVid utgången av andra kvartalet var BEIJER GROUPs orderbok på cirka 750 mkr ”all time high”Efter svackan under pandemin har den underliggande efterfrågan utvecklats starkt, särskilt i AsienEuropa har haft en successivt starkare återhämtning medan uppgången i Nordamerika varit mer försiktig.</w:t>
      </w:r>
    </w:p>
    <w:p w14:paraId="000766D9"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Hur länge komponentbristen består är svårt att bedömaVi gör vårt yttersta för att hantera problemen och lindra de negativa effekternaMen sett i ett lite längre perspektiv är vi trygga med att storleken på vår orderbok och den fina orderingången drivet av en stark efterfrågan konverteras till en försäljning som ger ett resultat minst i nivå med målet för rörelsemarginalen på tio procent.</w:t>
      </w:r>
    </w:p>
    <w:p w14:paraId="37013D2B"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För helåret 2021 ligger vår bedömning fastBEIJER GROUP har goda förutsättningar att visa ett bättre ekonomiskt utfall för 2021 jämfört med 2020.”</w:t>
      </w:r>
    </w:p>
    <w:p w14:paraId="4594662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Koncernen det andra kvartalet</w:t>
      </w:r>
    </w:p>
    <w:p w14:paraId="691FAAE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7EEB42D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orderingång steg med 53 procent till 514 mkr (335) under det andra kvartalet 2021Justerat för valutaeffekter steg orderingången med 60 procentOrderingången för alla tre affärsenheter ökade.</w:t>
      </w:r>
    </w:p>
    <w:p w14:paraId="2271234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963328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omsättning steg med nio procent till 390 mkr (357)Justerat för valutaeffekter steg omsättningen med 14 procentAlla tre affärsenheter ökade sin omsättning.</w:t>
      </w:r>
    </w:p>
    <w:p w14:paraId="1D96802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1BEE52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rörelseresultat före avskrivningar uppgick till 47,2 mkr (44,9)Avskrivningarna uppgick till 37,4 mkr (37,0)Rörelseresultatet blev 9,8 mkr (7,9) motsvarande en rörelsemarginal på 2,5 procent(2,2)Rörelseresultatet påverkades av negativa valutaeffekter om 4,4 mkrResultatet påverkades negativt av bortfall i leveranser beroende på komponentbristen och stigande komponentpriserDe totala utvecklingsutgifterna uppgick till 53,3 mkr (48,4)Det motsvarade 13,7 procent (13,5) av koncernens försäljning.</w:t>
      </w:r>
    </w:p>
    <w:p w14:paraId="03690D1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7027E69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Resultatet före skatt uppgick till 2,7 mkr (0,4)Finansnettot blev -7,1 mkr (-7,6)Resultatet efter beräknad skatt uppgick till 1,9 mkr (-0,8)Resultatet per aktie efter beräknad skatt var 0,07 kronor (-0,03).</w:t>
      </w:r>
    </w:p>
    <w:p w14:paraId="45C7559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B2BC7E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Koncernen det första halvåret</w:t>
      </w:r>
    </w:p>
    <w:p w14:paraId="29A0529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orderingång ökade med 26 procent till 932 mkr (741) under det första halvåret 2021Justerat för valutaeffekter steg orderingången med 32 procentOrderingången för de tre affärsenheterna ökade.</w:t>
      </w:r>
    </w:p>
    <w:p w14:paraId="068D3FC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73D37AD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omsättning minskade till 741 mkr (753)Justerat för valutaeffekter steg omsättningen med tre procentKorenix ökade sin omsättning medan den minskade för Westermo och Beijer Electronics.</w:t>
      </w:r>
    </w:p>
    <w:p w14:paraId="131D99D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71A3F5C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rörelseresultat före avskrivningar uppgick till 86,5 mkr (88,5)Avskrivningarna uppgick till 72,1 mkr (72,2)Rörelseresultatet blev 14,5 mkr (16,3) motsvarande en rörelsemarginal på 2,0 procent (2,2)Resultatet påverkades negativt av bortfall i leveranser beroende på komponentbristen och stigande komponentpriserResultatet 2020 belastades med engångskostnader om 15 mkrDe totala utvecklingsutgifterna uppgick till 98,8 mkr (100,7)Det motsvarade 13,3 procent (13,4) av koncernens försäljning.</w:t>
      </w:r>
    </w:p>
    <w:p w14:paraId="3A185B8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537C700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Resultatet före skatt uppgick till 5,8 mkr (7,5)Finansnettot blev -8,7 mkr (-8,8)Resultatet efter beräknad skatt uppgick till 3,6 mkr (4,4)Resultatet per aktie efter beräknad skatt var 0,12 kronor (0,16).</w:t>
      </w:r>
    </w:p>
    <w:p w14:paraId="67E1E36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5FDCD43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Affärsenhet Westermo</w:t>
      </w:r>
    </w:p>
    <w:p w14:paraId="35C6CD0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 </w:t>
      </w:r>
    </w:p>
    <w:p w14:paraId="26B4471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Westermos orderingång vände kraftigt uppåt under det andra kvartalet efter nedgången under det första kvartaletBakom uppgången låg bland annat en större order på 36 mkr från en nordamerikansk tågoperatör inom ramen för ett ramavtal som tecknades förra åretHärutöver bidrog några mellanstora beställningar samt tillskottet från tyska ELTEC som förvärvades den 1 april 2021Även i övrigt utvecklades orderingången positivt efter den lägre efterfrågan som följde av pandemin.</w:t>
      </w:r>
    </w:p>
    <w:p w14:paraId="6D18AE2C"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6DEC63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Affärsenhetens omsättning ökade också men i en långsammare taktFörsäljningen har påverkats av uteblivna leveranser till följd av bristen på nyckelkomponenter, särskilt elektronikkomponenterDet påverkade liksom stigande priser på komponenter även resultatet som blev något lägre jämfört med föregående årTyska ELTEC har utvecklats bättre än väntat och har bidragit till affärsenhetens orderingång, omsättning och resultat.</w:t>
      </w:r>
    </w:p>
    <w:p w14:paraId="0B6826E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5A8E80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Efter en omfattande utveckling och certifieringsprocess lanserade Westermo under det andra kvartalet nya och robusta nätverkslösningar med bland annat nya och anpassade switchar för segmentet energidistributionLanseringen är en milstolpe och innebär att Westermo kan erbjuda segmentet en komplett produktportfölj som möjliggör automatisering av ställverk och digitalisering av energisystemDet är en stor och växande marknad som Westermo identifierat inom ramen för affärsenhetens tillväxtstrategi.</w:t>
      </w:r>
    </w:p>
    <w:p w14:paraId="2BD9F6F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3E316F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Andra kvartalet</w:t>
      </w:r>
    </w:p>
    <w:p w14:paraId="19F53AB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steg med 40 procent till 277 mkr (199) inklusive förvärvet av ELTECOmsättningen ökade med nio procent till 206 mkr (189)Rörelseresultatet före avskrivningar uppgick till 37,5 mkr (37,3)Avskrivningarna var 17,8 mkr (15,6)Rörelseresultatet uppgick till 19,7 mkr (21,6)Det motsvarade en rörelsemarginal på 9,6 procent (11,4).</w:t>
      </w:r>
    </w:p>
    <w:p w14:paraId="6FDADD7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A6F0DA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Första halvåret</w:t>
      </w:r>
    </w:p>
    <w:p w14:paraId="516B770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steg med tolv procent till 449 mkr (400)Omsättningen minskade till 394 mkr (404)Rörelseresultatet före avskrivningar uppgick till 70,7 mkr (85,2)Avskrivningarna var 34,0 mkr (30,2) Rörelseresultatet uppgick till 36,7 mkr (55,0)Det motsvarade en rörelsemarginal på 9,3 procent (13,6).</w:t>
      </w:r>
    </w:p>
    <w:p w14:paraId="22C29D6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F1CC83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Affärsenhet Beijer Electronics</w:t>
      </w:r>
    </w:p>
    <w:p w14:paraId="2E3AADD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C2CF21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Beijer Electronics utveckling fortsatte att peka i positiv riktning under det andra kvartaletAffärsenhetens orderingång, som är den viktigaste indikatorn för framtida tillväxt i försäljningen, steg med 79 procent under perioden och översteg med råge 200 mkr för andra kvartalet i radUppgången är bred och omfattar alla regionerStarkast har efterfrågan varit i AsienI Europa har återhämtningen blivit successivt bättre medan USA haft en mer försiktig utveckling.</w:t>
      </w:r>
    </w:p>
    <w:p w14:paraId="0350516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B4F5EE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Affärsenhetens omsättning steg med sju procentFörsäljningen har dock liksom under det första kvartalet hämmats av den globala bristen på vissa elektronikkomponenterBortfallet i försäljningen på grund av uteblivna leveranser bedöms ha uppgått till över tio procent av omsättningen motsvarande cirka 20 mkrDet påverkade resultatet som i annat fall skulle varit högreResultatet förbättrades ändå jämfört med samma period 2020 så en rörelseförlust kunde vändas till ett nollresultat under det andra kvartalet i årAffärsenheten har även mött vissa prishöjningar på särskilt nyckelkomponenterPrishöjningarna kommer att föras vidare till nästa led under kommande kvartal.</w:t>
      </w:r>
    </w:p>
    <w:p w14:paraId="6EF82A7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41812B2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&amp;&amp;Försäljningen av X2-terminalerna har fortsatt utvecklats positivt och under perioden svarade de för nära 70 procent av affärsenhetens omsättningUnder det första halvåret lanserades två uppdaterade versioner av operatörsterminalen X2 base varav den ena är en inträdesmodell och den andra en modell med högre prestandaSamarbetet med affärsenheten Korenix har fortskridit enligt plan.</w:t>
      </w:r>
    </w:p>
    <w:p w14:paraId="136286E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45DE748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Andra kvartalet</w:t>
      </w:r>
    </w:p>
    <w:p w14:paraId="02286D3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ökade med 79 procent till 216 mkr (121)Omsättningen steg med sju procent till 164 mkr (153)Rörelseresultatet före avskrivningar uppgick till  13,8 mkr (12,3)Avskrivningarna blev 13,8 mkr (14,3)Rörelseresultatet uppgick till 0 mkr (-2,0).</w:t>
      </w:r>
    </w:p>
    <w:p w14:paraId="63F3274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236CD8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Första halvåret</w:t>
      </w:r>
    </w:p>
    <w:p w14:paraId="0B7677E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ökade med 42 procent till 437 mkr (308)Omsättningen minskade till 308 mkr (317)Rörelseresultatet före avskrivningar uppgick till 25,7 mkr (21,4)Avskrivningarna blev 26,2 mkr (27,9)Rörelseresultatet uppgick till -0,5 mkr (-6,6)Resultatet 2020 belastades med omstruktureringskostnader om 9,4 mkr.</w:t>
      </w:r>
    </w:p>
    <w:p w14:paraId="5AE2889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F9E4DF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7215D0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Affärsenhet Korenix</w:t>
      </w:r>
    </w:p>
    <w:p w14:paraId="15FB027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599AE4D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Korenix kunde visa en positiv utveckling för andra kvartalet i rad vilket vittna r om att affärsenheten är på rätt vägOrderingången steg med 27 procent under det andra kvartaletOmsättningen ökade med 26 procent under samma periodUppgången har varit bred och relativt jämt fördelad mellan olika segment och regionerDet är främst Korenix OEM-kunder som svarat för den stigande efterfråganDet har samtidigt noterats att en del projekt fortsatt senareläggs vilket främst påverkar orderingången.</w:t>
      </w:r>
    </w:p>
    <w:p w14:paraId="264A539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C74A96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Med tidigare besparingsprogram i kombination med stigande volymer kunde Korenix visa en klar resultatförbättring med ett litet plus i rörelseresultatLiksom koncernens övriga affärsenheter har Korenix i viss utsträckning påverkats av den globala komponentbristenSåväl försäljning som resultat skulle i annat fall varit högre.</w:t>
      </w:r>
    </w:p>
    <w:p w14:paraId="7292E7E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8D821F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Samarbetet med affärsenheten Beijer Electronics har löpt enligt planSamordningen på säljsidan ger önskade resultat med bland annat ett gemensamt projekt avseende nätverkskommunikation för bussar i FrankrikeLeveranskedjorna samordnas och en gemensam organisation för försäljning och produktledning håller på att utformasUnder hösten kommer ett första gemensamt utvecklingsprojekt att initieras.</w:t>
      </w:r>
    </w:p>
    <w:p w14:paraId="669C342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18ACA0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&amp;&amp;Andra kvartalet</w:t>
      </w:r>
    </w:p>
    <w:p w14:paraId="1475A8B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steg med 27 procent till 25 mkr (20)Omsättningen ökade med 26 procent till 24 mkr (19)Rörelseresultatet före avskrivningar blev 2,5 mkr (0)Avskrivningarna uppgick till 2,4 mkr (3,3)Rörelseresultatet uppgick till 0,1 mkr (-3,3).</w:t>
      </w:r>
    </w:p>
    <w:p w14:paraId="00D742F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5D30AB3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Första halvåret</w:t>
      </w:r>
    </w:p>
    <w:p w14:paraId="2F251A4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steg med 32 procent till 53 mkr (40)Omsättningen ökade med 17 procent till 46 mkr (39)Rörelseresultatet före avskrivningar blev 3,6 mkr (-5,7)Avskrivningarna uppgick till 4,9 mkr (6,7)Rörelseresultatet uppgick till -1,3 mkr (-12,4)Resultatet 2020 belastades med omstruktureringskostnader om 2,9 mkr.</w:t>
      </w:r>
    </w:p>
    <w:p w14:paraId="3D6DC4B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71FD5A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Övrig ekonomisk information</w:t>
      </w:r>
    </w:p>
    <w:p w14:paraId="5B5349B8" w14:textId="77777777" w:rsidR="001769E1" w:rsidRPr="001769E1" w:rsidRDefault="001769E1" w:rsidP="001769E1">
      <w:pPr>
        <w:spacing w:after="120"/>
        <w:rPr>
          <w:rFonts w:ascii="Times New Roman" w:eastAsia="Times New Roman" w:hAnsi="Times New Roman" w:cs="Times New Roman"/>
          <w:lang w:eastAsia="en-GB"/>
        </w:rPr>
      </w:pPr>
      <w:r>
        <w:rPr>
          <w:rFonts w:ascii="Calibri" w:hAnsi="Calibri" w:cs="Calibri" w:eastAsia="Calibri"/>
          <w:sz w:val="22"/>
          <w:b w:val="off"/>
        </w:rPr>
        <w:t>Koncernens investeringar inklusive balanserade utvecklingskostnader och förvärv uppgick till 148 mkr (48) under det första halvåretKassaflödet från den löpande verksamheten var 23,6 mkr (88,9)Det egna kapitalet uppgick till 667 mkr (698) den sista juni 2021Soliditeten var 31,6 procent (34,2)Likvida medel uppgick till  140 mkr (121)Nettoskulden var 821 mkr (740)Medeltalet anställda var 779 medarbetare (799).</w:t>
      </w:r>
    </w:p>
    <w:p w14:paraId="253FF595" w14:textId="77777777" w:rsidR="001769E1" w:rsidRPr="001769E1" w:rsidRDefault="001769E1" w:rsidP="001769E1">
      <w:pPr>
        <w:spacing w:after="120"/>
        <w:ind w:right="1140"/>
        <w:rPr>
          <w:rFonts w:ascii="Times New Roman" w:eastAsia="Times New Roman" w:hAnsi="Times New Roman" w:cs="Times New Roman"/>
          <w:lang w:eastAsia="en-GB"/>
        </w:rPr>
      </w:pPr>
      <w:r>
        <w:rPr>
          <w:rFonts w:ascii="Calibri" w:hAnsi="Calibri" w:cs="Calibri" w:eastAsia="Calibri"/>
          <w:sz w:val="22"/>
          <w:b w:val="on"/>
        </w:rPr>
        <w:t>Emission av C-aktier</w:t>
      </w:r>
    </w:p>
    <w:p w14:paraId="21BD118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Styrelsen beslutade i mars 2021 i enlighet med beslut på årsstämman 2020 att emittera 99 538 C-aktier med ett kvotvärde av 0,33 kronorEmissionen riktades till ett finansiellt institut och återköptes omedelbart av bolagetDe återköpta C-aktierna avses vid leverans till anställda år 2023 omvandlas till stamaktier, i enlighet med villkoren för incitamentsprogrammet LTI 2020/2023Efter genomfört återköp av C-aktier uppgår antalet aktier till 28 951 938, varav 28 768 324 stamaktier och 183 614 C-aktier, motsvarande totalt 28 786 685,40  röster.</w:t>
      </w:r>
    </w:p>
    <w:p w14:paraId="6D56049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7FAF69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
          <w:b w:val="on"/>
        </w:rPr>
        <w:t>Viktiga händelser</w:t>
      </w:r>
    </w:p>
    <w:p w14:paraId="11D1C6C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BEIJER GROUP tecknade i januari 2021 genom affärsenheten Westermo ett leveransavtal om minst 25 miljoner euro (drygt 250 mkr) över en femårsperiod med tågtillverkaren AlstomAvtalet specificerar leveranser av nätverksutrustning utifrån ett ramavtal parterna emellanAlstom är redan en viktig kund till WestermoFrån 2021 kommer leveranserna till Alstoms tågsida successivt öka under den kommande femårsperioden.</w:t>
      </w:r>
    </w:p>
    <w:p w14:paraId="37C2CF27"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 </w:t>
      </w:r>
    </w:p>
    <w:p w14:paraId="4791DA5E"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BEIJER GROUP tecknade i mars 2021 genom affärsenheten Westermo ett avtal om förvärv av 100 procent av det tyska bolaget ELTEC Elektronik AGELTEC är ett innovativt teknologibolag inom kommunikationslösningar till uppkopplade tågBolaget är specialiserat på trådlösa kommunikationslösningar på passagerarinformation, infotainment och Wi-Fi-nätverk för  passagerareBland bolagets kunder återfinns Europas största tågoperatörer och systemintegratörer inom uppkopplade tågELTEC har cirka 35 medarbetare och en försäljning på 65 mkr på årsbasisELTEC kompletterar Westermos verksamhet inom tågsidanKöpeskillingen uppgick till 10,5 miljoner euro på skuldfri basis och finansierades genom koncernens befintliga finansieringsavtalFörvärvet slutfördes den 1 april 2021 och bolaget ingår i Westermos och koncernens räkenskaper från den 1 april 2021ELTEC kommer att ha begränsad påverkan på BEIJER GROUPs resultat under 2021 men förväntas bidra från 2022 och framåt i linje med Westermos lönsamhetsnivå.</w:t>
      </w:r>
    </w:p>
    <w:p w14:paraId="417321C3" w14:textId="77777777" w:rsidR="001769E1" w:rsidRPr="001769E1" w:rsidRDefault="001769E1" w:rsidP="001769E1">
      <w:pPr>
        <w:rPr>
          <w:rFonts w:ascii="Times New Roman" w:eastAsia="Times New Roman" w:hAnsi="Times New Roman" w:cs="Times New Roman"/>
          <w:lang w:eastAsia="en-GB"/>
        </w:rPr>
      </w:pPr>
    </w:p>
    <w:p w14:paraId="2A2884D6" w14:textId="77777777" w:rsidR="00952453" w:rsidRDefault="000910E1"/>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E1"/>
    <w:rsid w:val="000910E1"/>
    <w:rsid w:val="001769E1"/>
    <w:rsid w:val="00377579"/>
    <w:rsid w:val="00A2177D"/>
    <w:rsid w:val="00E92F6F"/>
    <w:rsid w:val="00F97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A6F45"/>
  <w15:chartTrackingRefBased/>
  <w15:docId w15:val="{7D56C80F-9144-A04C-9E6E-0E655096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9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2021-08-15T12:21:00Z</dcterms:created>
  <dc:creator>Turner, Gabriel</dc:creator>
  <cp:lastModifiedBy>Turner, Gabriel</cp:lastModifiedBy>
  <dcterms:modified xsi:type="dcterms:W3CDTF">2021-08-15T18:05:00Z</dcterms:modified>
  <cp:revision>3</cp:revision>
</cp:coreProperties>
</file>