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6E10D"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36"/>
          <w:b w:val="on"/>
        </w:rPr>
        <w:t xml:space="preserve">Delårsrapport för Beijer Electronics Group AB. </w:t>
      </w:r>
    </w:p>
    <w:p w14:paraId="0E245E68"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32"/>
          <w:b w:val="on"/>
        </w:rPr>
        <w:t/>
      </w:r>
    </w:p>
    <w:p w14:paraId="2446757A"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32"/>
          <w:b w:val="on"/>
        </w:rPr>
        <w:t/>
      </w:r>
    </w:p>
    <w:p w14:paraId="3E159DEA"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n"/>
        </w:rPr>
        <w:t/>
      </w:r>
    </w:p>
    <w:p w14:paraId="5E57F69E"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n"/>
        </w:rPr>
        <w:t/>
      </w:r>
    </w:p>
    <w:p w14:paraId="6F9CF8B7"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n"/>
        </w:rPr>
        <w:t/>
      </w:r>
    </w:p>
    <w:p w14:paraId="73FE8534"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n"/>
        </w:rPr>
        <w:t/>
      </w:r>
    </w:p>
    <w:p w14:paraId="06491E7F" w14:textId="77777777" w:rsidR="001769E1" w:rsidRPr="001769E1" w:rsidRDefault="001769E1" w:rsidP="001769E1">
      <w:pPr>
        <w:numPr>
          <w:ilvl w:val="0"/>
          <w:numId w:val="1"/>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
      </w:r>
    </w:p>
    <w:p w14:paraId="3E239254" w14:textId="77777777" w:rsidR="001769E1" w:rsidRPr="001769E1" w:rsidRDefault="001769E1" w:rsidP="001769E1">
      <w:pPr>
        <w:numPr>
          <w:ilvl w:val="0"/>
          <w:numId w:val="1"/>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
      </w:r>
    </w:p>
    <w:p w14:paraId="75B17016" w14:textId="77777777" w:rsidR="001769E1" w:rsidRPr="001769E1" w:rsidRDefault="001769E1" w:rsidP="001769E1">
      <w:pPr>
        <w:numPr>
          <w:ilvl w:val="0"/>
          <w:numId w:val="1"/>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
      </w:r>
    </w:p>
    <w:p w14:paraId="3325F873" w14:textId="77777777" w:rsidR="001769E1" w:rsidRPr="001769E1" w:rsidRDefault="001769E1" w:rsidP="001769E1">
      <w:pPr>
        <w:numPr>
          <w:ilvl w:val="0"/>
          <w:numId w:val="1"/>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
      </w:r>
    </w:p>
    <w:p w14:paraId="52B92260" w14:textId="77777777" w:rsidR="001769E1" w:rsidRPr="001769E1" w:rsidRDefault="001769E1" w:rsidP="001769E1">
      <w:pPr>
        <w:numPr>
          <w:ilvl w:val="0"/>
          <w:numId w:val="1"/>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
      </w:r>
    </w:p>
    <w:p w14:paraId="2368AB79"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
          <w:b w:val="off"/>
        </w:rPr>
        <w:t/>
      </w:r>
    </w:p>
    <w:p w14:paraId="0186F855" w14:textId="39E93813" w:rsidR="001769E1" w:rsidRDefault="001769E1" w:rsidP="001769E1">
      <w:pPr>
        <w:rPr>
          <w:rFonts w:ascii="Calibri" w:eastAsia="Times New Roman" w:hAnsi="Calibri" w:cs="Calibri"/>
          <w:b/>
          <w:bCs/>
          <w:color w:val="000000"/>
          <w:sz w:val="22"/>
          <w:szCs w:val="22"/>
          <w:lang w:eastAsia="en-GB"/>
        </w:rPr>
      </w:pPr>
      <w:r>
        <w:rPr>
          <w:rFonts w:ascii="Calibri" w:hAnsi="Calibri" w:cs="Calibri" w:eastAsia="Calibri"/>
          <w:sz w:val="22"/>
          <w:b w:val="on"/>
        </w:rPr>
        <w:t/>
      </w:r>
    </w:p>
    <w:p w14:paraId="4318F4B6" w14:textId="77777777" w:rsidR="00F976A0" w:rsidRPr="001769E1" w:rsidRDefault="00F976A0" w:rsidP="001769E1">
      <w:pPr>
        <w:rPr>
          <w:rFonts w:ascii="Times New Roman" w:eastAsia="Times New Roman" w:hAnsi="Times New Roman" w:cs="Times New Roman"/>
          <w:lang w:eastAsia="en-GB"/>
        </w:rPr>
      </w:pPr>
    </w:p>
    <w:p w14:paraId="31F19146" w14:textId="77777777" w:rsidR="001769E1" w:rsidRPr="001769E1" w:rsidRDefault="001769E1" w:rsidP="001769E1">
      <w:pPr>
        <w:numPr>
          <w:ilvl w:val="0"/>
          <w:numId w:val="2"/>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
      </w:r>
    </w:p>
    <w:p w14:paraId="1B5EED58" w14:textId="77777777" w:rsidR="001769E1" w:rsidRPr="001769E1" w:rsidRDefault="001769E1" w:rsidP="001769E1">
      <w:pPr>
        <w:numPr>
          <w:ilvl w:val="0"/>
          <w:numId w:val="2"/>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
      </w:r>
    </w:p>
    <w:p w14:paraId="23C40FD1" w14:textId="77777777" w:rsidR="001769E1" w:rsidRPr="001769E1" w:rsidRDefault="001769E1" w:rsidP="001769E1">
      <w:pPr>
        <w:numPr>
          <w:ilvl w:val="0"/>
          <w:numId w:val="2"/>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
      </w:r>
    </w:p>
    <w:p w14:paraId="339F81A8" w14:textId="77777777" w:rsidR="001769E1" w:rsidRPr="001769E1" w:rsidRDefault="001769E1" w:rsidP="001769E1">
      <w:pPr>
        <w:numPr>
          <w:ilvl w:val="0"/>
          <w:numId w:val="2"/>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
      </w:r>
    </w:p>
    <w:p w14:paraId="093DD91F" w14:textId="77777777" w:rsidR="001769E1" w:rsidRPr="001769E1" w:rsidRDefault="001769E1" w:rsidP="001769E1">
      <w:pPr>
        <w:numPr>
          <w:ilvl w:val="0"/>
          <w:numId w:val="2"/>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
      </w:r>
    </w:p>
    <w:p w14:paraId="24BF363E" w14:textId="77777777" w:rsidR="001769E1" w:rsidRPr="001769E1" w:rsidRDefault="001769E1" w:rsidP="001769E1">
      <w:pPr>
        <w:numPr>
          <w:ilvl w:val="0"/>
          <w:numId w:val="2"/>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
      </w:r>
    </w:p>
    <w:p w14:paraId="5690BEA7"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n"/>
        </w:rPr>
        <w:t/>
      </w:r>
    </w:p>
    <w:p w14:paraId="09EEF1DD"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n"/>
        </w:rPr>
        <w:t/>
      </w:r>
    </w:p>
    <w:p w14:paraId="2EC15758"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n"/>
        </w:rPr>
        <w:t/>
      </w:r>
    </w:p>
    <w:p w14:paraId="4A409D51"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xml:space="preserve">Med en uppgång på över 50 procent passerade vi för första gången 500 mkr i orderingång under ett enskilt kvartal. Det är ett styrkebesked och ett kvitto på att våra tillväxtstrategier nu ger resultat. Vi kan även notera att uppgången är bred och omfattar såväl koncernens tre affärsenheter som alla geografiska regioner.. </w:t>
      </w:r>
    </w:p>
    <w:p w14:paraId="2BDFF7CE"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r>
    </w:p>
    <w:p w14:paraId="4A326956"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xml:space="preserve">Däremot kvarstår den globala bristen på vissa nyckelkomponenter. Det innebär att flera produkter inte fullt ut kan färdigställas enligt planer vilket medför störningar i leveranskedjorna. Det påverkade BEIJER GROUPs leveranser under det andra kvartalet liksom under det första kvartalet.. </w:t>
      </w:r>
    </w:p>
    <w:p w14:paraId="0AFFD75F"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r>
    </w:p>
    <w:p w14:paraId="13F603CC"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xml:space="preserve">Koncernen kunde ändå öka sin försäljning med nio procent till närmare 390 mkr under perioden. Jag vill i sammanhanget ge organisationen ett erkännande hur den och medarbetarna lyckats hantera utmaningarna med komponentbristen genom flexibilitet, att hitta nya lösningar och omplaneringar.. </w:t>
      </w:r>
    </w:p>
    <w:p w14:paraId="5FFC69FF"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r>
    </w:p>
    <w:p w14:paraId="717B4103"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xml:space="preserve">Jag kan som VD konstatera att resultatet ligger på en för låg nivå och att det till synes är en bit kvar till att nå våra lönsamhetsmål. Men jag har god tillförsikt i att vi är på rätt väg och hyser optimism inför framtiden. Vårt resultat under andra kvartalet kunde ha varit väsentligt högre om vi haft en normal leveranssituation. Komponentbristen har även medfört inslag av höjda priser på nyckelkomponenter som kommer att föras vidare till nästa led under kommande kvartal.. </w:t>
      </w:r>
    </w:p>
    <w:p w14:paraId="207A0714"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r>
    </w:p>
    <w:p w14:paraId="046E4ED4"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xml:space="preserve">Vi har valt att bygga upp ett visst lager av produkter för att snabbt kunna leverera när väl den enskilda komponenten är på plats. Uppbyggnaden av lager har förutom resultatpåverkan medfört ett negativt kassaflöde under perioden som kommer att vändas till ett positivt kassaflöde efter leverans. BEIJER GROUPs totala leveranskapacitet och under normala flöden av komponenter bedöms mer än väl överstiga takten i orderingången under det andra kvartalet.. </w:t>
      </w:r>
    </w:p>
    <w:p w14:paraId="16D2D636"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r>
    </w:p>
    <w:p w14:paraId="31709C20"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xml:space="preserve">Westermos orderingång steg med 40 procent och försäljningen med nio procent. Affärsenheten erhöll en större order på 36 mkr inom ramen för ett ramavtal med en nordamerikansk tågoperatör. Tyska ELTEC som förvärvades under det första kvartalet har utvecklats över förväntan och bidrog positivt till Westermos affär. Affärsenhetens rörelseresultat blev något lägre under perioden beroende på stigande komponentpriser och uteblivna leveranser till följd av komponentbristen.. </w:t>
      </w:r>
    </w:p>
    <w:p w14:paraId="48224E8B"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r>
    </w:p>
    <w:p w14:paraId="672BF8F2"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xml:space="preserve">Westermo har nu en konkurrenskraftig produktportfölj för automatisering av ställverk och digitalisering av energisystem vilket är i linje med affärsenhetens tillväxtstrategi.. </w:t>
      </w:r>
    </w:p>
    <w:p w14:paraId="1CFA3C93"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r>
    </w:p>
    <w:p w14:paraId="46F29304"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xml:space="preserve">Försäljningen steg med sju procent och rörelseresultatet vändes från ett minus till ett nollresultat. Såväl försäljning som resultat har påverkats negativt av komponentbristen och stigande komponentpriser. Affärsenheten Korenix utvecklades likaså positivt efter de senaste årens betydande omställningar. Orderingång och försäljning ökade med närmare 30 procent och affärsenheten kunde visa ett nollresultat efter en relativt stor rörelseförlust förra året.. </w:t>
      </w:r>
    </w:p>
    <w:p w14:paraId="62FEE275"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r>
    </w:p>
    <w:p w14:paraId="674292D2" w14:textId="77777777" w:rsidR="001769E1" w:rsidRPr="001769E1" w:rsidRDefault="001769E1" w:rsidP="001769E1">
      <w:pPr>
        <w:spacing w:after="200"/>
        <w:ind w:right="140"/>
        <w:rPr>
          <w:rFonts w:ascii="Times New Roman" w:eastAsia="Times New Roman" w:hAnsi="Times New Roman" w:cs="Times New Roman"/>
          <w:lang w:eastAsia="en-GB"/>
        </w:rPr>
      </w:pPr>
      <w:r>
        <w:rPr>
          <w:rFonts w:ascii="Calibri" w:hAnsi="Calibri" w:cs="Calibri" w:eastAsia="Calibri"/>
          <w:sz w:val="22"/>
          <w:b w:val="off"/>
        </w:rPr>
        <w:t xml:space="preserve">Vid utgången av andra kvartalet var BEIJER GROUPs orderbok på cirka 750 mkr ”all time high”. Efter svackan under pandemin har den underliggande efterfrågan utvecklats starkt, särskilt i Asien. Europa har haft en successivt starkare återhämtning medan uppgången i Nordamerika varit mer försiktig.. </w:t>
      </w:r>
    </w:p>
    <w:p w14:paraId="000766D9" w14:textId="77777777" w:rsidR="001769E1" w:rsidRPr="001769E1" w:rsidRDefault="001769E1" w:rsidP="001769E1">
      <w:pPr>
        <w:spacing w:after="200"/>
        <w:ind w:right="140"/>
        <w:rPr>
          <w:rFonts w:ascii="Times New Roman" w:eastAsia="Times New Roman" w:hAnsi="Times New Roman" w:cs="Times New Roman"/>
          <w:lang w:eastAsia="en-GB"/>
        </w:rPr>
      </w:pPr>
      <w:r>
        <w:rPr>
          <w:rFonts w:ascii="Calibri" w:hAnsi="Calibri" w:cs="Calibri" w:eastAsia="Calibri"/>
          <w:sz w:val="22"/>
          <w:b w:val="off"/>
        </w:rPr>
        <w:t xml:space="preserve">Vi gör vårt yttersta för att hantera problemen och lindra de negativa effekterna. Men sett i ett lite längre perspektiv är vi trygga med att storleken på vår orderbok och den fina orderingången drivet av en stark efterfrågan konverteras till en försäljning som ger ett resultat minst i nivå med målet för rörelsemarginalen på tio procent.. </w:t>
      </w:r>
    </w:p>
    <w:p w14:paraId="37013D2B" w14:textId="77777777" w:rsidR="001769E1" w:rsidRPr="001769E1" w:rsidRDefault="001769E1" w:rsidP="001769E1">
      <w:pPr>
        <w:spacing w:after="200"/>
        <w:ind w:right="140"/>
        <w:rPr>
          <w:rFonts w:ascii="Times New Roman" w:eastAsia="Times New Roman" w:hAnsi="Times New Roman" w:cs="Times New Roman"/>
          <w:lang w:eastAsia="en-GB"/>
        </w:rPr>
      </w:pPr>
      <w:r>
        <w:rPr>
          <w:rFonts w:ascii="Calibri" w:hAnsi="Calibri" w:cs="Calibri" w:eastAsia="Calibri"/>
          <w:sz w:val="22"/>
          <w:b w:val="off"/>
        </w:rPr>
        <w:t xml:space="preserve">BEIJER GROUP har goda förutsättningar att visa ett bättre ekonomiskt utfall för 2021 jämfört med 2020.”. </w:t>
      </w:r>
    </w:p>
    <w:p w14:paraId="45946626"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n"/>
        </w:rPr>
        <w:t/>
      </w:r>
    </w:p>
    <w:p w14:paraId="691FAAE0"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n"/>
        </w:rPr>
        <w:t/>
      </w:r>
    </w:p>
    <w:p w14:paraId="7EEB42DD"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xml:space="preserve">Justerat för valutaeffekter steg orderingången med 60 procent. Orderingången för alla tre affärsenheter ökade.. </w:t>
      </w:r>
    </w:p>
    <w:p w14:paraId="22712347"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r>
    </w:p>
    <w:p w14:paraId="69633288"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xml:space="preserve">Justerat för valutaeffekter steg omsättningen med 14 procent. Alla tre affärsenheter ökade sin omsättning.. </w:t>
      </w:r>
    </w:p>
    <w:p w14:paraId="1D968026"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r>
    </w:p>
    <w:p w14:paraId="31BEE522"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xml:space="preserve">Avskrivningarna uppgick till 37,4 mkr (37,0). Rörelseresultatet blev 9,8 mkr (7,9) motsvarande en rörelsemarginal på 2,5 procent. (2,2). Rörelseresultatet påverkades av negativa valutaeffekter om 4,4 mkr. Resultatet påverkades negativt av bortfall i leveranser beroende på komponentbristen och stigande komponentpriser. De totala utvecklingsutgifterna uppgick till 53,3 mkr (48,4). Det motsvarade 13,7 procent (13,5) av koncernens försäljning.. </w:t>
      </w:r>
    </w:p>
    <w:p w14:paraId="03690D17"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r>
    </w:p>
    <w:p w14:paraId="7027E69F"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xml:space="preserve">Finansnettot blev -7,1 mkr (-7,6). Resultatet efter beräknad skatt uppgick till 1,9 mkr (-0,8). Resultatet per aktie efter beräknad skatt var 0,07 kronor (-0,03).. </w:t>
      </w:r>
    </w:p>
    <w:p w14:paraId="45C7559A"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r>
    </w:p>
    <w:p w14:paraId="0B2BC7E5"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n"/>
        </w:rPr>
        <w:t/>
      </w:r>
    </w:p>
    <w:p w14:paraId="29A05297"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xml:space="preserve">Justerat för valutaeffekter steg orderingången med 32 procent. Orderingången för de tre affärsenheterna ökade.. </w:t>
      </w:r>
    </w:p>
    <w:p w14:paraId="068D3FC1"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r>
    </w:p>
    <w:p w14:paraId="73D37ADE"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xml:space="preserve">Justerat för valutaeffekter steg omsättningen med tre procent. Korenix ökade sin omsättning medan den minskade för Westermo och Beijer Electronics.. </w:t>
      </w:r>
    </w:p>
    <w:p w14:paraId="131D99DA"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r>
    </w:p>
    <w:p w14:paraId="71A3F5C4"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xml:space="preserve">Avskrivningarna uppgick till 72,1 mkr (72,2). Rörelseresultatet blev 14,5 mkr (16,3) motsvarande en rörelsemarginal på 2,0 procent (2,2). Resultatet påverkades negativt av bortfall i leveranser beroende på komponentbristen och stigande komponentpriser. Resultatet 2020 belastades med engångskostnader om 15 mkr. De totala utvecklingsutgifterna uppgick till 98,8 mkr (100,7). Det motsvarade 13,3 procent (13,4) av koncernens försäljning.. </w:t>
      </w:r>
    </w:p>
    <w:p w14:paraId="3A185B89"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r>
    </w:p>
    <w:p w14:paraId="537C7002"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xml:space="preserve">Finansnettot blev -8,7 mkr (-8,8). Resultatet efter beräknad skatt uppgick till 3,6 mkr (4,4). Resultatet per aktie efter beräknad skatt var 0,12 kronor (0,16).. </w:t>
      </w:r>
    </w:p>
    <w:p w14:paraId="67E1E360"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r>
    </w:p>
    <w:p w14:paraId="5FDCD43B"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8"/>
          <w:b w:val="on"/>
        </w:rPr>
        <w:t/>
      </w:r>
    </w:p>
    <w:p w14:paraId="35C6CD07"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8"/>
          <w:b w:val="on"/>
        </w:rPr>
        <w:t/>
      </w:r>
    </w:p>
    <w:p w14:paraId="26B4471B"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xml:space="preserve">Bakom uppgången låg bland annat en större order på 36 mkr från en nordamerikansk tågoperatör inom ramen för ett ramavtal som tecknades förra året. Härutöver bidrog några mellanstora beställningar samt tillskottet från tyska ELTEC som förvärvades den 1 april 2021. Även i övrigt utvecklades orderingången positivt efter den lägre efterfrågan som följde av pandemin.. </w:t>
      </w:r>
    </w:p>
    <w:p w14:paraId="6D18AE2C"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r>
    </w:p>
    <w:p w14:paraId="66DEC63E"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xml:space="preserve">Försäljningen har påverkats av uteblivna leveranser till följd av bristen på nyckelkomponenter, särskilt elektronikkomponenter. Det påverkade liksom stigande priser på komponenter även resultatet som blev något lägre jämfört med föregående år. Tyska ELTEC har utvecklats bättre än väntat och har bidragit till affärsenhetens orderingång, omsättning och resultat.. </w:t>
      </w:r>
    </w:p>
    <w:p w14:paraId="0B6826E5"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r>
    </w:p>
    <w:p w14:paraId="35A8E806"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xml:space="preserve">Lanseringen är en milstolpe och innebär att Westermo kan erbjuda segmentet en komplett produktportfölj som möjliggör automatisering av ställverk och digitalisering av energisystem. Det är en stor och växande marknad som Westermo identifierat inom ramen för affärsenhetens tillväxtstrategi.. </w:t>
      </w:r>
    </w:p>
    <w:p w14:paraId="2BD9F6F0"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r>
    </w:p>
    <w:p w14:paraId="63E316F9"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n"/>
        </w:rPr>
        <w:t/>
      </w:r>
    </w:p>
    <w:p w14:paraId="19F53ABB"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xml:space="preserve">Omsättningen ökade med nio procent till 206 mkr (189). Rörelseresultatet före avskrivningar uppgick till 37,5 mkr (37,3). Avskrivningarna var 17,8 mkr (15,6). Rörelseresultatet uppgick till 19,7 mkr (21,6). Det motsvarade en rörelsemarginal på 9,6 procent (11,4).. </w:t>
      </w:r>
    </w:p>
    <w:p w14:paraId="6FDADD77"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r>
    </w:p>
    <w:p w14:paraId="3A6F0DA6"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n"/>
        </w:rPr>
        <w:t/>
      </w:r>
    </w:p>
    <w:p w14:paraId="516B770A"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xml:space="preserve">Omsättningen minskade till 394 mkr (404). Rörelseresultatet före avskrivningar uppgick till 70,7 mkr (85,2). Avskrivningarna var 34,0 mkr (30,2) Rörelseresultatet uppgick till 36,7 mkr (55,0). Det motsvarade en rörelsemarginal på 9,3 procent (13,6).. </w:t>
      </w:r>
    </w:p>
    <w:p w14:paraId="22C29D64"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r>
    </w:p>
    <w:p w14:paraId="1F1CC83E"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8"/>
          <w:b w:val="on"/>
        </w:rPr>
        <w:t/>
      </w:r>
    </w:p>
    <w:p w14:paraId="2E3AADDE"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r>
    </w:p>
    <w:p w14:paraId="1C2CF218"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xml:space="preserve">Affärsenhetens orderingång, som är den viktigaste indikatorn för framtida tillväxt i försäljningen, steg med 79 procent under perioden och översteg med råge 200 mkr för andra kvartalet i rad. Uppgången är bred och omfattar alla regioner. Starkast har efterfrågan varit i Asien. I Europa har återhämtningen blivit successivt bättre medan USA haft en mer försiktig utveckling.. </w:t>
      </w:r>
    </w:p>
    <w:p w14:paraId="03505166"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r>
    </w:p>
    <w:p w14:paraId="3B4F5EE4"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xml:space="preserve">Försäljningen har dock liksom under det första kvartalet hämmats av den globala bristen på vissa elektronikkomponenter. Bortfallet i försäljningen på grund av uteblivna leveranser bedöms ha uppgått till över tio procent av omsättningen motsvarande cirka 20 mkr. Det påverkade resultatet som i annat fall skulle varit högre. Resultatet förbättrades ändå jämfört med samma period 2020 så en rörelseförlust kunde vändas till ett nollresultat under det andra kvartalet i år. Affärsenheten har även mött vissa prishöjningar på särskilt nyckelkomponenter. Prishöjningarna kommer att föras vidare till nästa led under kommande kvartal.. </w:t>
      </w:r>
    </w:p>
    <w:p w14:paraId="6EF82A71"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r>
    </w:p>
    <w:p w14:paraId="41812B2F"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xml:space="preserve">Under det första halvåret lanserades två uppdaterade versioner av operatörsterminalen X2 base varav den ena är en inträdesmodell och den andra en modell med högre prestanda. Samarbetet med affärsenheten Korenix har fortskridit enligt plan.. </w:t>
      </w:r>
    </w:p>
    <w:p w14:paraId="136286EA"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r>
    </w:p>
    <w:p w14:paraId="45DE7482"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n"/>
        </w:rPr>
        <w:t/>
      </w:r>
    </w:p>
    <w:p w14:paraId="02286D3B"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xml:space="preserve">Omsättningen steg med sju procent till 164 mkr (153). Rörelseresultatet före avskrivningar uppgick till  13,8 mkr (12,3). Avskrivningarna blev 13,8 mkr (14,3). Rörelseresultatet uppgick till 0 mkr (-2,0).. </w:t>
      </w:r>
    </w:p>
    <w:p w14:paraId="63F32747"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r>
    </w:p>
    <w:p w14:paraId="0236CD81"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n"/>
        </w:rPr>
        <w:t/>
      </w:r>
    </w:p>
    <w:p w14:paraId="0B7677E7"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xml:space="preserve">Omsättningen minskade till 308 mkr (317). Rörelseresultatet före avskrivningar uppgick till 25,7 mkr (21,4). Avskrivningarna blev 26,2 mkr (27,9). Rörelseresultatet uppgick till -0,5 mkr (-6,6). Resultatet 2020 belastades med omstruktureringskostnader om 9,4 mkr.. </w:t>
      </w:r>
    </w:p>
    <w:p w14:paraId="5AE28893"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r>
    </w:p>
    <w:p w14:paraId="3F9E4DF4"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r>
    </w:p>
    <w:p w14:paraId="37215D09"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8"/>
          <w:b w:val="on"/>
        </w:rPr>
        <w:t/>
      </w:r>
    </w:p>
    <w:p w14:paraId="15FB027B"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r>
    </w:p>
    <w:p w14:paraId="599AE4DA"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xml:space="preserve">Orderingången steg med 27 procent under det andra kvartalet. Omsättningen ökade med 26 procent under samma period. Uppgången har varit bred och relativt jämt fördelad mellan olika segment och regioner. Det är främst Korenix OEM-kunder som svarat för den stigande efterfrågan. Det har samtidigt noterats att en del projekt fortsatt senareläggs vilket främst påverkar orderingången.. </w:t>
      </w:r>
    </w:p>
    <w:p w14:paraId="264A5391"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r>
    </w:p>
    <w:p w14:paraId="0C74A963"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xml:space="preserve">Liksom koncernens övriga affärsenheter har Korenix i viss utsträckning påverkats av den globala komponentbristen. Såväl försäljning som resultat skulle i annat fall varit högre.. </w:t>
      </w:r>
    </w:p>
    <w:p w14:paraId="7292E7EB"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r>
    </w:p>
    <w:p w14:paraId="08D821FA"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xml:space="preserve">Samordningen på säljsidan ger önskade resultat med bland annat ett gemensamt projekt avseende nätverkskommunikation för bussar i Frankrike. Leveranskedjorna samordnas och en gemensam organisation för försäljning och produktledning håller på att utformas. Under hösten kommer ett första gemensamt utvecklingsprojekt att initieras.. </w:t>
      </w:r>
    </w:p>
    <w:p w14:paraId="669C342F"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r>
    </w:p>
    <w:p w14:paraId="118ACA0A"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n"/>
        </w:rPr>
        <w:t/>
      </w:r>
    </w:p>
    <w:p w14:paraId="1475A8BE"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xml:space="preserve">Omsättningen ökade med 26 procent till 24 mkr (19). Rörelseresultatet före avskrivningar blev 2,5 mkr (0). Avskrivningarna uppgick till 2,4 mkr (3,3). Rörelseresultatet uppgick till 0,1 mkr (-3,3).. </w:t>
      </w:r>
    </w:p>
    <w:p w14:paraId="00D742F7"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r>
    </w:p>
    <w:p w14:paraId="5D30AB36"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n"/>
        </w:rPr>
        <w:t/>
      </w:r>
    </w:p>
    <w:p w14:paraId="2F251A46"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xml:space="preserve">Omsättningen ökade med 17 procent till 46 mkr (39). Rörelseresultatet före avskrivningar blev 3,6 mkr (-5,7). Avskrivningarna uppgick till 4,9 mkr (6,7). Rörelseresultatet uppgick till -1,3 mkr (-12,4). Resultatet 2020 belastades med omstruktureringskostnader om 2,9 mkr.. </w:t>
      </w:r>
    </w:p>
    <w:p w14:paraId="3D6DC4B3"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r>
    </w:p>
    <w:p w14:paraId="371FD5A1"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n"/>
        </w:rPr>
        <w:t/>
      </w:r>
    </w:p>
    <w:p w14:paraId="5B5349B8" w14:textId="77777777" w:rsidR="001769E1" w:rsidRPr="001769E1" w:rsidRDefault="001769E1" w:rsidP="001769E1">
      <w:pPr>
        <w:spacing w:after="120"/>
        <w:rPr>
          <w:rFonts w:ascii="Times New Roman" w:eastAsia="Times New Roman" w:hAnsi="Times New Roman" w:cs="Times New Roman"/>
          <w:lang w:eastAsia="en-GB"/>
        </w:rPr>
      </w:pPr>
      <w:r>
        <w:rPr>
          <w:rFonts w:ascii="Calibri" w:hAnsi="Calibri" w:cs="Calibri" w:eastAsia="Calibri"/>
          <w:sz w:val="22"/>
          <w:b w:val="off"/>
        </w:rPr>
        <w:t xml:space="preserve">Kassaflödet från den löpande verksamheten var 23,6 mkr (88,9). Det egna kapitalet uppgick till 667 mkr (698) den sista juni 2021. Soliditeten var 31,6 procent (34,2). Likvida medel uppgick till  140 mkr (121). Nettoskulden var 821 mkr (740). Medeltalet anställda var 779 medarbetare (799).. </w:t>
      </w:r>
    </w:p>
    <w:p w14:paraId="253FF595" w14:textId="77777777" w:rsidR="001769E1" w:rsidRPr="001769E1" w:rsidRDefault="001769E1" w:rsidP="001769E1">
      <w:pPr>
        <w:spacing w:after="120"/>
        <w:ind w:right="1140"/>
        <w:rPr>
          <w:rFonts w:ascii="Times New Roman" w:eastAsia="Times New Roman" w:hAnsi="Times New Roman" w:cs="Times New Roman"/>
          <w:lang w:eastAsia="en-GB"/>
        </w:rPr>
      </w:pPr>
      <w:r>
        <w:rPr>
          <w:rFonts w:ascii="Calibri" w:hAnsi="Calibri" w:cs="Calibri" w:eastAsia="Calibri"/>
          <w:sz w:val="22"/>
          <w:b w:val="on"/>
        </w:rPr>
        <w:t/>
      </w:r>
    </w:p>
    <w:p w14:paraId="21BD1186"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xml:space="preserve">Emissionen riktades till ett finansiellt institut och återköptes omedelbart av bolaget. De återköpta C-aktierna avses vid leverans till anställda år 2023 omvandlas till stamaktier, i enlighet med villkoren för incitamentsprogrammet LTI 2020/2023. Efter genomfört återköp av C-aktier uppgår antalet aktier till 28 951 938, varav 28 768 324 stamaktier och 183 614 C-aktier, motsvarande totalt 28 786 685,40  röster.. </w:t>
      </w:r>
    </w:p>
    <w:p w14:paraId="6D560497"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r>
    </w:p>
    <w:p w14:paraId="17FAF691"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
          <w:b w:val="on"/>
        </w:rPr>
        <w:t/>
      </w:r>
    </w:p>
    <w:p w14:paraId="11D1C6C3"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xml:space="preserve">Avtalet specificerar leveranser av nätverksutrustning utifrån ett ramavtal parterna emellan. Alstom är redan en viktig kund till Westermo. Från 2021 kommer leveranserna till Alstoms tågsida successivt öka under den kommande femårsperioden.. </w:t>
      </w:r>
    </w:p>
    <w:p w14:paraId="37C2CF27" w14:textId="77777777" w:rsidR="001769E1" w:rsidRPr="001769E1" w:rsidRDefault="001769E1" w:rsidP="001769E1">
      <w:pPr>
        <w:spacing w:after="200"/>
        <w:ind w:right="140"/>
        <w:rPr>
          <w:rFonts w:ascii="Times New Roman" w:eastAsia="Times New Roman" w:hAnsi="Times New Roman" w:cs="Times New Roman"/>
          <w:lang w:eastAsia="en-GB"/>
        </w:rPr>
      </w:pPr>
      <w:r>
        <w:rPr>
          <w:rFonts w:ascii="Calibri" w:hAnsi="Calibri" w:cs="Calibri" w:eastAsia="Calibri"/>
          <w:sz w:val="22"/>
          <w:b w:val="off"/>
        </w:rPr>
        <w:t/>
      </w:r>
    </w:p>
    <w:p w14:paraId="4791DA5E" w14:textId="77777777" w:rsidR="001769E1" w:rsidRPr="001769E1" w:rsidRDefault="001769E1" w:rsidP="001769E1">
      <w:pPr>
        <w:spacing w:after="200"/>
        <w:ind w:right="140"/>
        <w:rPr>
          <w:rFonts w:ascii="Times New Roman" w:eastAsia="Times New Roman" w:hAnsi="Times New Roman" w:cs="Times New Roman"/>
          <w:lang w:eastAsia="en-GB"/>
        </w:rPr>
      </w:pPr>
      <w:r>
        <w:rPr>
          <w:rFonts w:ascii="Calibri" w:hAnsi="Calibri" w:cs="Calibri" w:eastAsia="Calibri"/>
          <w:sz w:val="22"/>
          <w:b w:val="off"/>
        </w:rPr>
        <w:t xml:space="preserve">ELTEC är ett innovativt teknologibolag inom kommunikationslösningar till uppkopplade tåg. Bolaget är specialiserat på trådlösa kommunikationslösningar på passagerarinformation, infotainment och Wi-Fi-nätverk för  passagerare. Bland bolagets kunder återfinns Europas största tågoperatörer och systemintegratörer inom uppkopplade tåg. ELTEC har cirka 35 medarbetare och en försäljning på 65 mkr på årsbasis. ELTEC kompletterar Westermos verksamhet inom tågsidan. Köpeskillingen uppgick till 10,5 miljoner euro på skuldfri basis och finansierades genom koncernens befintliga finansieringsavtal. Förvärvet slutfördes den 1 april 2021 och bolaget ingår i Westermos och koncernens räkenskaper från den 1 april 2021. ELTEC kommer att ha begränsad påverkan på BEIJER GROUPs resultat under 2021 men förväntas bidra från 2022 och framåt i linje med Westermos lönsamhetsnivå.. </w:t>
      </w:r>
    </w:p>
    <w:p w14:paraId="417321C3" w14:textId="77777777" w:rsidR="001769E1" w:rsidRPr="001769E1" w:rsidRDefault="001769E1" w:rsidP="001769E1">
      <w:pPr>
        <w:rPr>
          <w:rFonts w:ascii="Times New Roman" w:eastAsia="Times New Roman" w:hAnsi="Times New Roman" w:cs="Times New Roman"/>
          <w:lang w:eastAsia="en-GB"/>
        </w:rPr>
      </w:pPr>
    </w:p>
    <w:p w14:paraId="2A2884D6" w14:textId="77777777" w:rsidR="00952453" w:rsidRDefault="00F976A0"/>
    <w:sectPr w:rsidR="00952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17074"/>
    <w:multiLevelType w:val="multilevel"/>
    <w:tmpl w:val="BE10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E32857"/>
    <w:multiLevelType w:val="multilevel"/>
    <w:tmpl w:val="7BA2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9E1"/>
    <w:rsid w:val="001769E1"/>
    <w:rsid w:val="00377579"/>
    <w:rsid w:val="00A2177D"/>
    <w:rsid w:val="00E92F6F"/>
    <w:rsid w:val="00F976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40A6F45"/>
  <w15:chartTrackingRefBased/>
  <w15:docId w15:val="{7D56C80F-9144-A04C-9E6E-0E6550968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69E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28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ntTable.xml" Type="http://schemas.openxmlformats.org/officeDocument/2006/relationships/fontTable"/><Relationship Id="rId6"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2466</Words>
  <Characters>14059</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2021-08-15T12:21:00Z</dcterms:created>
  <dc:creator>Turner, Gabriel</dc:creator>
  <cp:lastModifiedBy>Turner, Gabriel</cp:lastModifiedBy>
  <dcterms:modified xsi:type="dcterms:W3CDTF">2021-08-15T18:04:00Z</dcterms:modified>
  <cp:revision>2</cp:revision>
</cp:coreProperties>
</file>