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E10D"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36"/>
          <w:b w:val="on"/>
        </w:rPr>
        <w:t>Delårsrapport för Beijer Electronics Group AB</w:t>
      </w:r>
    </w:p>
    <w:p w14:paraId="0E245E68"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32"/>
          <w:b w:val="on"/>
        </w:rPr>
        <w:t>1 januari-30 juni 2021</w:t>
      </w:r>
    </w:p>
    <w:p w14:paraId="2446757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32"/>
          <w:b w:val="on"/>
        </w:rPr>
        <w:t> </w:t>
      </w:r>
    </w:p>
    <w:p w14:paraId="3E159DE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Stort lyft i orderingången ger stabil bas för högre försäljning och förbättrade resultat</w:t>
      </w:r>
    </w:p>
    <w:p w14:paraId="5E57F69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t>
      </w:r>
    </w:p>
    <w:p w14:paraId="6F9CF8B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Andra kvartalet</w:t>
      </w:r>
    </w:p>
    <w:p w14:paraId="73FE853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t>
      </w:r>
    </w:p>
    <w:p w14:paraId="06491E7F"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Orderingången steg 53 med procent till 514 mkr (335).</w:t>
      </w:r>
    </w:p>
    <w:p w14:paraId="3E239254"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Nettoomsättningen ökade med nio procent till 390 mkr (357).</w:t>
      </w:r>
    </w:p>
    <w:p w14:paraId="75B17016"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Rörelseresultatet uppgick till 9,8 mkr (7,9).</w:t>
      </w:r>
    </w:p>
    <w:p w14:paraId="3325F873"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Resultatet efter skatt uppgick till 1,9 mkr (-0,8).</w:t>
      </w:r>
    </w:p>
    <w:p w14:paraId="52B92260"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Resultatet per aktie blev 0,07 kronor (-0,03).</w:t>
      </w:r>
    </w:p>
    <w:p w14:paraId="2368AB79"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b w:val="off"/>
        </w:rPr>
        <w:t> </w:t>
      </w:r>
    </w:p>
    <w:p w14:paraId="0186F855" w14:textId="39E93813" w:rsidR="001769E1" w:rsidRDefault="001769E1" w:rsidP="001769E1">
      <w:pPr>
        <w:rPr>
          <w:rFonts w:ascii="Calibri" w:eastAsia="Times New Roman" w:hAnsi="Calibri" w:cs="Calibri"/>
          <w:b/>
          <w:bCs/>
          <w:color w:val="000000"/>
          <w:sz w:val="22"/>
          <w:szCs w:val="22"/>
          <w:lang w:eastAsia="en-GB"/>
        </w:rPr>
      </w:pPr>
      <w:r>
        <w:rPr>
          <w:rFonts w:ascii="Calibri" w:hAnsi="Calibri" w:cs="Calibri" w:eastAsia="Calibri"/>
          <w:sz w:val="22"/>
          <w:b w:val="on"/>
        </w:rPr>
        <w:t>Första halvåret</w:t>
      </w:r>
    </w:p>
    <w:p w14:paraId="4318F4B6" w14:textId="77777777" w:rsidR="00F976A0" w:rsidRPr="001769E1" w:rsidRDefault="00F976A0" w:rsidP="001769E1">
      <w:pPr>
        <w:rPr>
          <w:rFonts w:ascii="Times New Roman" w:eastAsia="Times New Roman" w:hAnsi="Times New Roman" w:cs="Times New Roman"/>
          <w:lang w:eastAsia="en-GB"/>
        </w:rPr>
      </w:pPr>
    </w:p>
    <w:p w14:paraId="31F19146"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Orderingången steg med 26 procent till 932 mkr (741).</w:t>
      </w:r>
    </w:p>
    <w:p w14:paraId="1B5EED58"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Nettoomsättningen uppgick till 741 mkr (753).</w:t>
      </w:r>
    </w:p>
    <w:p w14:paraId="23C40FD1"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Rörelseresultatet blev 14,5 mkr (16,3).</w:t>
      </w:r>
    </w:p>
    <w:p w14:paraId="339F81A8"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Resultatet efter skatt uppgick till 3,6 mkr (4,4).</w:t>
      </w:r>
    </w:p>
    <w:p w14:paraId="093DD91F"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Resultatet per aktie blev 0,12 kronor (0,16).</w:t>
      </w:r>
    </w:p>
    <w:p w14:paraId="24BF363E"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Förvärv av tyska ELTEC.</w:t>
      </w:r>
    </w:p>
    <w:p w14:paraId="5690BEA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t>
      </w:r>
    </w:p>
    <w:p w14:paraId="09EEF1DD"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VD Per Samuelsson kommenterar:</w:t>
      </w:r>
    </w:p>
    <w:p w14:paraId="2EC15758"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t>
      </w:r>
    </w:p>
    <w:p w14:paraId="4A409D5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”BEIJER GROUPs orderingång satte ett nytt rekord under det andra kvartalet. Med en uppgång på över 50 procent passerade vi för första gången 500 mkr i orderingång under ett enskilt kvartal. Det är ett styrkebesked och ett kvitto på att våra tillväxtstrategier nu ger resultat. Vi kan även notera att uppgången är bred och omfattar såväl koncernens tre affärsenheter som alla geografiska regioner.</w:t>
      </w:r>
    </w:p>
    <w:p w14:paraId="2BDFF7C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4A32695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Uppgången är också ett tecken på att effekterna på efterfrågan från pandemin och covid-19 börjar klinga av. Däremot kvarstår den globala bristen på vissa nyckelkomponenter. Det innebär att flera produkter inte fullt ut kan färdigställas enligt planer vilket medför störningar i leveranskedjorna. Det påverkade BEIJER GROUPs leveranser under det andra kvartalet liksom under det första kvartalet.</w:t>
      </w:r>
    </w:p>
    <w:p w14:paraId="0AFFD75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13F603CC"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Vi bedömer att bortfallet i omsättning till följd av komponentbristen som hämmat leveranserna uppgick till 11-12 procent av försäljningen under det andra kvartalet motsvarande nästan 50 mkr. Koncernen kunde ändå öka sin försäljning med nio procent till närmare 390 mkr under perioden. Jag vill i sammanhanget ge organisationen ett erkännande hur den och medarbetarna lyckats hantera utmaningarna med komponentbristen genom flexibilitet, att hitta nya lösningar och omplaneringar.</w:t>
      </w:r>
    </w:p>
    <w:p w14:paraId="5FFC69F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717B410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Rörelseresultatet steg med 24 procent men det påverkades negativt av bortfallet i omsättning. Jag kan som VD konstatera att resultatet ligger på en för låg nivå och att det till synes är en bit kvar till att nå våra lönsamhetsmål. Men jag har god tillförsikt i att vi är på rätt väg och hyser optimism inför framtiden. Vårt resultat under andra kvartalet kunde ha varit väsentligt högre om vi haft en normal leveranssituation. Komponentbristen har även medfört inslag av höjda priser på nyckelkomponenter som kommer att föras vidare till nästa led under kommande kvartal.</w:t>
      </w:r>
    </w:p>
    <w:p w14:paraId="207A071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046E4ED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Det är också viktigt att betona att problemen med leveranserna hänger samman med komponentbristen och inte interna kapacitetsproblem. Vi har valt att bygga upp ett visst lager av produkter för att snabbt kunna leverera när väl den enskilda komponenten är på plats. Uppbyggnaden av lager har förutom resultatpåverkan medfört ett negativt kassaflöde under perioden som kommer att vändas till ett positivt kassaflöde efter leverans. BEIJER GROUPs totala leveranskapacitet och under normala flöden av komponenter bedöms mer än väl överstiga takten i orderingången under det andra kvartalet.</w:t>
      </w:r>
    </w:p>
    <w:p w14:paraId="16D2D63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1709C20"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Koncernens tre affärsenheter visade en positiv utveckling avseende orderingång och omsättning. Westermos orderingång steg med 40 procent och försäljningen med nio procent. Affärsenheten erhöll en större order på 36 mkr inom ramen för ett ramavtal med en nordamerikansk tågoperatör. Tyska ELTEC som förvärvades under det första kvartalet har utvecklats över förväntan och bidrog positivt till Westermos affär. Affärsenhetens rörelseresultat blev något lägre under perioden beroende på stigande komponentpriser och uteblivna leveranser till följd av komponentbristen.</w:t>
      </w:r>
    </w:p>
    <w:p w14:paraId="48224E8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672BF8F2"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Westermo nådde också en milstolpe under kvartalet genom lanseringen av en nya switchar inom det nya segmentet eldistribution. Westermo har nu en konkurrenskraftig produktportfölj för automatisering av ställverk och digitalisering av energisystem vilket är i linje med affärsenhetens tillväxtstrategi.</w:t>
      </w:r>
    </w:p>
    <w:p w14:paraId="1CFA3C9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46F2930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Beijer Electronics orderingång steg med närmare 80 procent och uppgick till över 200 mkr för andra kvartalet i rad. Försäljningen steg med sju procent och rörelseresultatet vändes från ett minus till ett nollresultat. Såväl försäljning som resultat har påverkats negativt av komponentbristen och stigande komponentpriser. Affärsenheten Korenix utvecklades likaså positivt efter de senaste årens betydande omställningar. Orderingång och försäljning ökade med närmare 30 procent och affärsenheten kunde visa ett nollresultat efter en relativt stor rörelseförlust förra året.</w:t>
      </w:r>
    </w:p>
    <w:p w14:paraId="62FEE275"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674292D2"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&amp;&amp;Sammantaget är vi nöjda med den fina tillväxten i koncernens orderingång. Vid utgången av andra kvartalet var BEIJER GROUPs orderbok på cirka 750 mkr ”all time high”. Efter svackan under pandemin har den underliggande efterfrågan utvecklats starkt, särskilt i Asien. Europa har haft en successivt starkare återhämtning medan uppgången i Nordamerika varit mer försiktig.</w:t>
      </w:r>
    </w:p>
    <w:p w14:paraId="000766D9"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Hur länge komponentbristen består är svårt att bedöma. Vi gör vårt yttersta för att hantera problemen och lindra de negativa effekterna. Men sett i ett lite längre perspektiv är vi trygga med att storleken på vår orderbok och den fina orderingången drivet av en stark efterfrågan konverteras till en försäljning som ger ett resultat minst i nivå med målet för rörelsemarginalen på tio procent.</w:t>
      </w:r>
    </w:p>
    <w:p w14:paraId="37013D2B"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För helåret 2021 ligger vår bedömning fast. BEIJER GROUP har goda förutsättningar att visa ett bättre ekonomiskt utfall för 2021 jämfört med 2020.”</w:t>
      </w:r>
    </w:p>
    <w:p w14:paraId="4594662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Koncernen det andra kvartalet</w:t>
      </w:r>
    </w:p>
    <w:p w14:paraId="691FAAE0"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 </w:t>
      </w:r>
    </w:p>
    <w:p w14:paraId="7EEB42DD"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Koncernens orderingång steg med 53 procent till 514 mkr (335) under det andra kvartalet 2021. Justerat för valutaeffekter steg orderingången med 60 procent. Orderingången för alla tre affärsenheter ökade.</w:t>
      </w:r>
    </w:p>
    <w:p w14:paraId="2271234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69633288"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Koncernens omsättning steg med nio procent till 390 mkr (357). Justerat för valutaeffekter steg omsättningen med 14 procent. Alla tre affärsenheter ökade sin omsättning.</w:t>
      </w:r>
    </w:p>
    <w:p w14:paraId="1D96802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1BEE522"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Koncernens rörelseresultat före avskrivningar uppgick till 47,2 mkr (44,9). Avskrivningarna uppgick till 37,4 mkr (37,0). Rörelseresultatet blev 9,8 mkr (7,9) motsvarande en rörelsemarginal på 2,5 procent. (2,2). Rörelseresultatet påverkades av negativa valutaeffekter om 4,4 mkr. Resultatet påverkades negativt av bortfall i leveranser beroende på komponentbristen och stigande komponentpriser. De totala utvecklingsutgifterna uppgick till 53,3 mkr (48,4). Det motsvarade 13,7 procent (13,5) av koncernens försäljning.</w:t>
      </w:r>
    </w:p>
    <w:p w14:paraId="03690D1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7027E69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Resultatet före skatt uppgick till 2,7 mkr (0,4). Finansnettot blev -7,1 mkr (-7,6). Resultatet efter beräknad skatt uppgick till 1,9 mkr (-0,8). Resultatet per aktie efter beräknad skatt var 0,07 kronor (-0,03).</w:t>
      </w:r>
    </w:p>
    <w:p w14:paraId="45C7559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0B2BC7E5"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Koncernen det första halvåret</w:t>
      </w:r>
    </w:p>
    <w:p w14:paraId="29A0529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Koncernens orderingång ökade med 26 procent till 932 mkr (741) under det första halvåret 2021. Justerat för valutaeffekter steg orderingången med 32 procent. Orderingången för de tre affärsenheterna ökade.</w:t>
      </w:r>
    </w:p>
    <w:p w14:paraId="068D3FC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73D37AD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Koncernens omsättning minskade till 741 mkr (753). Justerat för valutaeffekter steg omsättningen med tre procent. Korenix ökade sin omsättning medan den minskade för Westermo och Beijer Electronics.</w:t>
      </w:r>
    </w:p>
    <w:p w14:paraId="131D99D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71A3F5C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Koncernens rörelseresultat före avskrivningar uppgick till 86,5 mkr (88,5). Avskrivningarna uppgick till 72,1 mkr (72,2). Rörelseresultatet blev 14,5 mkr (16,3) motsvarande en rörelsemarginal på 2,0 procent (2,2). Resultatet påverkades negativt av bortfall i leveranser beroende på komponentbristen och stigande komponentpriser. Resultatet 2020 belastades med engångskostnader om 15 mkr. De totala utvecklingsutgifterna uppgick till 98,8 mkr (100,7). Det motsvarade 13,3 procent (13,4) av koncernens försäljning.</w:t>
      </w:r>
    </w:p>
    <w:p w14:paraId="3A185B89"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537C7002"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Resultatet före skatt uppgick till 5,8 mkr (7,5). Finansnettot blev -8,7 mkr (-8,8). Resultatet efter beräknad skatt uppgick till 3,6 mkr (4,4). Resultatet per aktie efter beräknad skatt var 0,12 kronor (0,16).</w:t>
      </w:r>
    </w:p>
    <w:p w14:paraId="67E1E360"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5FDCD43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8"/>
          <w:b w:val="on"/>
        </w:rPr>
        <w:t>Affärsenhet Westermo</w:t>
      </w:r>
    </w:p>
    <w:p w14:paraId="35C6CD0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8"/>
          <w:b w:val="on"/>
        </w:rPr>
        <w:t> </w:t>
      </w:r>
    </w:p>
    <w:p w14:paraId="26B4471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Westermos orderingång vände kraftigt uppåt under det andra kvartalet efter nedgången under det första kvartalet. Bakom uppgången låg bland annat en större order på 36 mkr från en nordamerikansk tågoperatör inom ramen för ett ramavtal som tecknades förra året. Härutöver bidrog några mellanstora beställningar samt tillskottet från tyska ELTEC som förvärvades den 1 april 2021. Även i övrigt utvecklades orderingången positivt efter den lägre efterfrågan som följde av pandemin.</w:t>
      </w:r>
    </w:p>
    <w:p w14:paraId="6D18AE2C"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66DEC63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Affärsenhetens omsättning ökade också men i en långsammare takt. Försäljningen har påverkats av uteblivna leveranser till följd av bristen på nyckelkomponenter, särskilt elektronikkomponenter. Det påverkade liksom stigande priser på komponenter även resultatet som blev något lägre jämfört med föregående år. Tyska ELTEC har utvecklats bättre än väntat och har bidragit till affärsenhetens orderingång, omsättning och resultat.</w:t>
      </w:r>
    </w:p>
    <w:p w14:paraId="0B6826E5"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5A8E80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Efter en omfattande utveckling och certifieringsprocess lanserade Westermo under det andra kvartalet nya och robusta nätverkslösningar med bland annat nya och anpassade switchar för segmentet energidistribution. Lanseringen är en milstolpe och innebär att Westermo kan erbjuda segmentet en komplett produktportfölj som möjliggör automatisering av ställverk och digitalisering av energisystem. Det är en stor och växande marknad som Westermo identifierat inom ramen för affärsenhetens tillväxtstrategi.</w:t>
      </w:r>
    </w:p>
    <w:p w14:paraId="2BD9F6F0"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63E316F9"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Andra kvartalet</w:t>
      </w:r>
    </w:p>
    <w:p w14:paraId="19F53AB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Orderingången steg med 40 procent till 277 mkr (199) inklusive förvärvet av ELTEC. Omsättningen ökade med nio procent till 206 mkr (189). Rörelseresultatet före avskrivningar uppgick till 37,5 mkr (37,3). Avskrivningarna var 17,8 mkr (15,6). Rörelseresultatet uppgick till 19,7 mkr (21,6). Det motsvarade en rörelsemarginal på 9,6 procent (11,4).</w:t>
      </w:r>
    </w:p>
    <w:p w14:paraId="6FDADD7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A6F0DA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Första halvåret</w:t>
      </w:r>
    </w:p>
    <w:p w14:paraId="516B770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Orderingången steg med tolv procent till 449 mkr (400). Omsättningen minskade till 394 mkr (404). Rörelseresultatet före avskrivningar uppgick till 70,7 mkr (85,2). Avskrivningarna var 34,0 mkr (30,2) Rörelseresultatet uppgick till 36,7 mkr (55,0). Det motsvarade en rörelsemarginal på 9,3 procent (13,6).</w:t>
      </w:r>
    </w:p>
    <w:p w14:paraId="22C29D6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1F1CC83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8"/>
          <w:b w:val="on"/>
        </w:rPr>
        <w:t>Affärsenhet Beijer Electronics</w:t>
      </w:r>
    </w:p>
    <w:p w14:paraId="2E3AADD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1C2CF218"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Beijer Electronics utveckling fortsatte att peka i positiv riktning under det andra kvartalet. Affärsenhetens orderingång, som är den viktigaste indikatorn för framtida tillväxt i försäljningen, steg med 79 procent under perioden och översteg med råge 200 mkr för andra kvartalet i rad. Uppgången är bred och omfattar alla regioner. Starkast har efterfrågan varit i Asien. I Europa har återhämtningen blivit successivt bättre medan USA haft en mer försiktig utveckling.</w:t>
      </w:r>
    </w:p>
    <w:p w14:paraId="0350516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B4F5EE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Affärsenhetens omsättning steg med sju procent. Försäljningen har dock liksom under det första kvartalet hämmats av den globala bristen på vissa elektronikkomponenter. Bortfallet i försäljningen på grund av uteblivna leveranser bedöms ha uppgått till över tio procent av omsättningen motsvarande cirka 20 mkr. Det påverkade resultatet som i annat fall skulle varit högre. Resultatet förbättrades ändå jämfört med samma period 2020 så en rörelseförlust kunde vändas till ett nollresultat under det andra kvartalet i år. Affärsenheten har även mött vissa prishöjningar på särskilt nyckelkomponenter. Prishöjningarna kommer att föras vidare till nästa led under kommande kvartal.</w:t>
      </w:r>
    </w:p>
    <w:p w14:paraId="6EF82A7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41812B2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&amp;&amp;Försäljningen av X2-terminalerna har fortsatt utvecklats positivt och under perioden svarade de för nära 70 procent av affärsenhetens omsättning. Under det första halvåret lanserades två uppdaterade versioner av operatörsterminalen X2 base varav den ena är en inträdesmodell och den andra en modell med högre prestanda. Samarbetet med affärsenheten Korenix har fortskridit enligt plan.</w:t>
      </w:r>
    </w:p>
    <w:p w14:paraId="136286E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45DE7482"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Andra kvartalet</w:t>
      </w:r>
    </w:p>
    <w:p w14:paraId="02286D3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Orderingången ökade med 79 procent till 216 mkr (121). Omsättningen steg med sju procent till 164 mkr (153). Rörelseresultatet före avskrivningar uppgick till  13,8 mkr (12,3). Avskrivningarna blev 13,8 mkr (14,3). Rörelseresultatet uppgick till 0 mkr (-2,0).</w:t>
      </w:r>
    </w:p>
    <w:p w14:paraId="63F3274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0236CD8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Första halvåret</w:t>
      </w:r>
    </w:p>
    <w:p w14:paraId="0B7677E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Orderingången ökade med 42 procent till 437 mkr (308). Omsättningen minskade till 308 mkr (317). Rörelseresultatet före avskrivningar uppgick till 25,7 mkr (21,4). Avskrivningarna blev 26,2 mkr (27,9). Rörelseresultatet uppgick till -0,5 mkr (-6,6). Resultatet 2020 belastades med omstruktureringskostnader om 9,4 mkr.</w:t>
      </w:r>
    </w:p>
    <w:p w14:paraId="5AE2889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F9E4DF4"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7215D09"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8"/>
          <w:b w:val="on"/>
        </w:rPr>
        <w:t>Affärsenhet Korenix</w:t>
      </w:r>
    </w:p>
    <w:p w14:paraId="15FB027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599AE4D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Korenix kunde visa en positiv utveckling för andra kvartalet i rad vilket vittna r om att affärsenheten är på rätt väg. Orderingången steg med 27 procent under det andra kvartalet. Omsättningen ökade med 26 procent under samma period. Uppgången har varit bred och relativt jämt fördelad mellan olika segment och regioner. Det är främst Korenix OEM-kunder som svarat för den stigande efterfrågan. Det har samtidigt noterats att en del projekt fortsatt senareläggs vilket främst påverkar orderingången.</w:t>
      </w:r>
    </w:p>
    <w:p w14:paraId="264A539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0C74A96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Med tidigare besparingsprogram i kombination med stigande volymer kunde Korenix visa en klar resultatförbättring med ett litet plus i rörelseresultat. Liksom koncernens övriga affärsenheter har Korenix i viss utsträckning påverkats av den globala komponentbristen. Såväl försäljning som resultat skulle i annat fall varit högre.</w:t>
      </w:r>
    </w:p>
    <w:p w14:paraId="7292E7EB"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08D821F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Samarbetet med affärsenheten Beijer Electronics har löpt enligt plan. Samordningen på säljsidan ger önskade resultat med bland annat ett gemensamt projekt avseende nätverkskommunikation för bussar i Frankrike. Leveranskedjorna samordnas och en gemensam organisation för försäljning och produktledning håller på att utformas. Under hösten kommer ett första gemensamt utvecklingsprojekt att initieras.</w:t>
      </w:r>
    </w:p>
    <w:p w14:paraId="669C342F"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118ACA0A"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&amp;&amp;Andra kvartalet</w:t>
      </w:r>
    </w:p>
    <w:p w14:paraId="1475A8BE"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Orderingången steg med 27 procent till 25 mkr (20). Omsättningen ökade med 26 procent till 24 mkr (19). Rörelseresultatet före avskrivningar blev 2,5 mkr (0). Avskrivningarna uppgick till 2,4 mkr (3,3). Rörelseresultatet uppgick till 0,1 mkr (-3,3).</w:t>
      </w:r>
    </w:p>
    <w:p w14:paraId="00D742F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5D30AB3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Första halvåret</w:t>
      </w:r>
    </w:p>
    <w:p w14:paraId="2F251A4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Orderingången steg med 32 procent till 53 mkr (40). Omsättningen ökade med 17 procent till 46 mkr (39). Rörelseresultatet före avskrivningar blev 3,6 mkr (-5,7). Avskrivningarna uppgick till 4,9 mkr (6,7). Rörelseresultatet uppgick till -1,3 mkr (-12,4). Resultatet 2020 belastades med omstruktureringskostnader om 2,9 mkr.</w:t>
      </w:r>
    </w:p>
    <w:p w14:paraId="3D6DC4B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371FD5A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n"/>
        </w:rPr>
        <w:t>Övrig ekonomisk information</w:t>
      </w:r>
    </w:p>
    <w:p w14:paraId="5B5349B8" w14:textId="77777777" w:rsidR="001769E1" w:rsidRPr="001769E1" w:rsidRDefault="001769E1" w:rsidP="001769E1">
      <w:pPr>
        <w:spacing w:after="120"/>
        <w:rPr>
          <w:rFonts w:ascii="Times New Roman" w:eastAsia="Times New Roman" w:hAnsi="Times New Roman" w:cs="Times New Roman"/>
          <w:lang w:eastAsia="en-GB"/>
        </w:rPr>
      </w:pPr>
      <w:r>
        <w:rPr>
          <w:rFonts w:ascii="Calibri" w:hAnsi="Calibri" w:cs="Calibri" w:eastAsia="Calibri"/>
          <w:sz w:val="22"/>
          <w:b w:val="off"/>
        </w:rPr>
        <w:t>Koncernens investeringar inklusive balanserade utvecklingskostnader och förvärv uppgick till 148 mkr (48) under det första halvåret. Kassaflödet från den löpande verksamheten var 23,6 mkr (88,9). Det egna kapitalet uppgick till 667 mkr (698) den sista juni 2021. Soliditeten var 31,6 procent (34,2). Likvida medel uppgick till  140 mkr (121). Nettoskulden var 821 mkr (740). Medeltalet anställda var 779 medarbetare (799).</w:t>
      </w:r>
    </w:p>
    <w:p w14:paraId="253FF595" w14:textId="77777777" w:rsidR="001769E1" w:rsidRPr="001769E1" w:rsidRDefault="001769E1" w:rsidP="001769E1">
      <w:pPr>
        <w:spacing w:after="120"/>
        <w:ind w:right="1140"/>
        <w:rPr>
          <w:rFonts w:ascii="Times New Roman" w:eastAsia="Times New Roman" w:hAnsi="Times New Roman" w:cs="Times New Roman"/>
          <w:lang w:eastAsia="en-GB"/>
        </w:rPr>
      </w:pPr>
      <w:r>
        <w:rPr>
          <w:rFonts w:ascii="Calibri" w:hAnsi="Calibri" w:cs="Calibri" w:eastAsia="Calibri"/>
          <w:sz w:val="22"/>
          <w:b w:val="on"/>
        </w:rPr>
        <w:t>Emission av C-aktier</w:t>
      </w:r>
    </w:p>
    <w:p w14:paraId="21BD1186"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Styrelsen beslutade i mars 2021 i enlighet med beslut på årsstämman 2020 att emittera 99 538 C-aktier med ett kvotvärde av 0,33 kronor. Emissionen riktades till ett finansiellt institut och återköptes omedelbart av bolaget. De återköpta C-aktierna avses vid leverans till anställda år 2023 omvandlas till stamaktier, i enlighet med villkoren för incitamentsprogrammet LTI 2020/2023. Efter genomfört återköp av C-aktier uppgår antalet aktier till 28 951 938, varav 28 768 324 stamaktier och 183 614 C-aktier, motsvarande totalt 28 786 685,40  röster.</w:t>
      </w:r>
    </w:p>
    <w:p w14:paraId="6D560497"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 </w:t>
      </w:r>
    </w:p>
    <w:p w14:paraId="17FAF691"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b w:val="on"/>
        </w:rPr>
        <w:t>Viktiga händelser</w:t>
      </w:r>
    </w:p>
    <w:p w14:paraId="11D1C6C3" w14:textId="77777777" w:rsidR="001769E1" w:rsidRPr="001769E1" w:rsidRDefault="001769E1" w:rsidP="001769E1">
      <w:pPr>
        <w:rPr>
          <w:rFonts w:ascii="Times New Roman" w:eastAsia="Times New Roman" w:hAnsi="Times New Roman" w:cs="Times New Roman"/>
          <w:lang w:eastAsia="en-GB"/>
        </w:rPr>
      </w:pPr>
      <w:r>
        <w:rPr>
          <w:rFonts w:ascii="Calibri" w:hAnsi="Calibri" w:cs="Calibri" w:eastAsia="Calibri"/>
          <w:sz w:val="22"/>
          <w:b w:val="off"/>
        </w:rPr>
        <w:t>BEIJER GROUP tecknade i januari 2021 genom affärsenheten Westermo ett leveransavtal om minst 25 miljoner euro (drygt 250 mkr) över en femårsperiod med tågtillverkaren Alstom. Avtalet specificerar leveranser av nätverksutrustning utifrån ett ramavtal parterna emellan. Alstom är redan en viktig kund till Westermo. Från 2021 kommer leveranserna till Alstoms tågsida successivt öka under den kommande femårsperioden.</w:t>
      </w:r>
    </w:p>
    <w:p w14:paraId="37C2CF27"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 </w:t>
      </w:r>
    </w:p>
    <w:p w14:paraId="4791DA5E" w14:textId="77777777" w:rsidR="001769E1" w:rsidRPr="001769E1" w:rsidRDefault="001769E1" w:rsidP="001769E1">
      <w:pPr>
        <w:spacing w:after="200"/>
        <w:ind w:right="140"/>
        <w:rPr>
          <w:rFonts w:ascii="Times New Roman" w:eastAsia="Times New Roman" w:hAnsi="Times New Roman" w:cs="Times New Roman"/>
          <w:lang w:eastAsia="en-GB"/>
        </w:rPr>
      </w:pPr>
      <w:r>
        <w:rPr>
          <w:rFonts w:ascii="Calibri" w:hAnsi="Calibri" w:cs="Calibri" w:eastAsia="Calibri"/>
          <w:sz w:val="22"/>
          <w:b w:val="off"/>
        </w:rPr>
        <w:t>BEIJER GROUP tecknade i mars 2021 genom affärsenheten Westermo ett avtal om förvärv av 100 procent av det tyska bolaget ELTEC Elektronik AG. ELTEC är ett innovativt teknologibolag inom kommunikationslösningar till uppkopplade tåg. Bolaget är specialiserat på trådlösa kommunikationslösningar på passagerarinformation, infotainment och Wi-Fi-nätverk för  passagerare. Bland bolagets kunder återfinns Europas största tågoperatörer och systemintegratörer inom uppkopplade tåg. ELTEC har cirka 35 medarbetare och en försäljning på 65 mkr på årsbasis. ELTEC kompletterar Westermos verksamhet inom tågsidan. Köpeskillingen uppgick till 10,5 miljoner euro på skuldfri basis och finansierades genom koncernens befintliga finansieringsavtal. Förvärvet slutfördes den 1 april 2021 och bolaget ingår i Westermos och koncernens räkenskaper från den 1 april 2021. ELTEC kommer att ha begränsad påverkan på BEIJER GROUPs resultat under 2021 men förväntas bidra från 2022 och framåt i linje med Westermos lönsamhetsnivå.</w:t>
      </w:r>
    </w:p>
    <w:p w14:paraId="417321C3" w14:textId="77777777" w:rsidR="001769E1" w:rsidRPr="001769E1" w:rsidRDefault="001769E1" w:rsidP="001769E1">
      <w:pPr>
        <w:rPr>
          <w:rFonts w:ascii="Times New Roman" w:eastAsia="Times New Roman" w:hAnsi="Times New Roman" w:cs="Times New Roman"/>
          <w:lang w:eastAsia="en-GB"/>
        </w:rPr>
      </w:pPr>
    </w:p>
    <w:p w14:paraId="2A2884D6" w14:textId="77777777" w:rsidR="00952453" w:rsidRDefault="000910E1"/>
    <w:sectPr w:rsidR="0095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074"/>
    <w:multiLevelType w:val="multilevel"/>
    <w:tmpl w:val="BE1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32857"/>
    <w:multiLevelType w:val="multilevel"/>
    <w:tmpl w:val="7BA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E1"/>
    <w:rsid w:val="000910E1"/>
    <w:rsid w:val="001769E1"/>
    <w:rsid w:val="00377579"/>
    <w:rsid w:val="00A2177D"/>
    <w:rsid w:val="00E92F6F"/>
    <w:rsid w:val="00F97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0A6F45"/>
  <w15:chartTrackingRefBased/>
  <w15:docId w15:val="{7D56C80F-9144-A04C-9E6E-0E655096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9E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8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2021-08-15T12:21:00Z</dcterms:created>
  <dc:creator>Turner, Gabriel</dc:creator>
  <cp:lastModifiedBy>Turner, Gabriel</cp:lastModifiedBy>
  <dcterms:modified xsi:type="dcterms:W3CDTF">2021-08-15T18:05:00Z</dcterms:modified>
  <cp:revision>3</cp:revision>
</cp:coreProperties>
</file>