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2A77" w14:textId="77777777" w:rsidR="00DC088E" w:rsidRPr="001769E1" w:rsidRDefault="00DC088E" w:rsidP="00DC088E">
      <w:pPr>
        <w:rPr>
          <w:rFonts w:ascii="Times New Roman" w:eastAsia="Times New Roman" w:hAnsi="Times New Roman" w:cs="Times New Roman"/>
          <w:lang w:eastAsia="en-GB"/>
        </w:rPr>
      </w:pPr>
      <w:r>
        <w:rPr>
          <w:rFonts w:ascii="Calibri" w:eastAsia="Calibri" w:hAnsi="Calibri" w:cs="Calibri"/>
          <w:b/>
          <w:sz w:val="36"/>
        </w:rPr>
        <w:t>Interim Report, Beijer Electronics Group AB</w:t>
      </w:r>
    </w:p>
    <w:p w14:paraId="66140C6B" w14:textId="77777777" w:rsidR="00DC088E" w:rsidRPr="001769E1" w:rsidRDefault="00DC088E" w:rsidP="00DC088E">
      <w:pPr>
        <w:rPr>
          <w:rFonts w:ascii="Times New Roman" w:eastAsia="Times New Roman" w:hAnsi="Times New Roman" w:cs="Times New Roman"/>
          <w:lang w:eastAsia="en-GB"/>
        </w:rPr>
      </w:pPr>
      <w:r>
        <w:rPr>
          <w:rFonts w:ascii="Calibri" w:eastAsia="Calibri" w:hAnsi="Calibri" w:cs="Calibri"/>
          <w:b/>
          <w:sz w:val="32"/>
        </w:rPr>
        <w:t>1 January-30 June 2021</w:t>
      </w:r>
    </w:p>
    <w:p w14:paraId="2A2D4202" w14:textId="77777777" w:rsidR="00DC088E" w:rsidRPr="001769E1" w:rsidRDefault="00DC088E" w:rsidP="00DC088E">
      <w:pPr>
        <w:rPr>
          <w:rFonts w:ascii="Times New Roman" w:eastAsia="Times New Roman" w:hAnsi="Times New Roman" w:cs="Times New Roman"/>
          <w:lang w:eastAsia="en-GB"/>
        </w:rPr>
      </w:pPr>
      <w:r>
        <w:rPr>
          <w:rFonts w:ascii="Calibri" w:eastAsia="Calibri" w:hAnsi="Calibri" w:cs="Calibri"/>
          <w:b/>
          <w:sz w:val="32"/>
        </w:rPr>
        <w:t> </w:t>
      </w:r>
    </w:p>
    <w:p w14:paraId="254A181A" w14:textId="77777777" w:rsidR="00DC088E" w:rsidRPr="001769E1" w:rsidRDefault="00DC088E" w:rsidP="00DC088E">
      <w:pPr>
        <w:rPr>
          <w:rFonts w:ascii="Times New Roman" w:eastAsia="Times New Roman" w:hAnsi="Times New Roman" w:cs="Times New Roman"/>
          <w:lang w:eastAsia="en-GB"/>
        </w:rPr>
      </w:pPr>
      <w:r>
        <w:rPr>
          <w:rFonts w:ascii="Calibri" w:eastAsia="Calibri" w:hAnsi="Calibri" w:cs="Calibri"/>
          <w:b/>
          <w:sz w:val="22"/>
        </w:rPr>
        <w:t>Big boost to order intake sets a stable base for higher sales and improved earnings</w:t>
      </w:r>
    </w:p>
    <w:p w14:paraId="268B5AF7" w14:textId="77777777" w:rsidR="00DC088E" w:rsidRPr="001769E1" w:rsidRDefault="00DC088E" w:rsidP="00DC088E">
      <w:pPr>
        <w:rPr>
          <w:rFonts w:ascii="Times New Roman" w:eastAsia="Times New Roman" w:hAnsi="Times New Roman" w:cs="Times New Roman"/>
          <w:lang w:eastAsia="en-GB"/>
        </w:rPr>
      </w:pPr>
      <w:r>
        <w:rPr>
          <w:rFonts w:ascii="Calibri" w:eastAsia="Calibri" w:hAnsi="Calibri" w:cs="Calibri"/>
          <w:b/>
          <w:sz w:val="22"/>
        </w:rPr>
        <w:t> </w:t>
      </w:r>
    </w:p>
    <w:p w14:paraId="4B2D6E14" w14:textId="77777777" w:rsidR="00DC088E" w:rsidRPr="001769E1" w:rsidRDefault="00DC088E" w:rsidP="00DC088E">
      <w:pPr>
        <w:rPr>
          <w:rFonts w:ascii="Times New Roman" w:eastAsia="Times New Roman" w:hAnsi="Times New Roman" w:cs="Times New Roman"/>
          <w:lang w:eastAsia="en-GB"/>
        </w:rPr>
      </w:pPr>
      <w:r>
        <w:rPr>
          <w:rFonts w:ascii="Calibri" w:eastAsia="Calibri" w:hAnsi="Calibri" w:cs="Calibri"/>
          <w:b/>
          <w:sz w:val="22"/>
        </w:rPr>
        <w:t>Second quarter</w:t>
      </w:r>
    </w:p>
    <w:p w14:paraId="28E4BF85" w14:textId="77777777" w:rsidR="00DC088E" w:rsidRPr="001769E1" w:rsidRDefault="00DC088E" w:rsidP="00DC088E">
      <w:pPr>
        <w:rPr>
          <w:rFonts w:ascii="Times New Roman" w:eastAsia="Times New Roman" w:hAnsi="Times New Roman" w:cs="Times New Roman"/>
          <w:lang w:eastAsia="en-GB"/>
        </w:rPr>
      </w:pPr>
      <w:r>
        <w:rPr>
          <w:rFonts w:ascii="Calibri" w:eastAsia="Calibri" w:hAnsi="Calibri" w:cs="Calibri"/>
          <w:b/>
          <w:sz w:val="22"/>
        </w:rPr>
        <w:t> </w:t>
      </w:r>
    </w:p>
    <w:p w14:paraId="6A942B61"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eastAsia="Calibri" w:hAnsi="Calibri" w:cs="Calibri"/>
          <w:sz w:val="22"/>
        </w:rPr>
        <w:t>Order intake increased by 53% to 514 MSEK (335).</w:t>
      </w:r>
    </w:p>
    <w:p w14:paraId="51510ED0" w14:textId="67847F8F"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eastAsia="Calibri" w:hAnsi="Calibri" w:cs="Calibri"/>
          <w:sz w:val="22"/>
        </w:rPr>
        <w:t xml:space="preserve">Net sales rose by </w:t>
      </w:r>
      <w:r w:rsidR="006D2440">
        <w:rPr>
          <w:rFonts w:ascii="Calibri" w:eastAsia="Calibri" w:hAnsi="Calibri" w:cs="Calibri"/>
          <w:sz w:val="22"/>
        </w:rPr>
        <w:t>9</w:t>
      </w:r>
      <w:r>
        <w:rPr>
          <w:rFonts w:ascii="Calibri" w:eastAsia="Calibri" w:hAnsi="Calibri" w:cs="Calibri"/>
          <w:sz w:val="22"/>
        </w:rPr>
        <w:t>% to 390 MSEK (357).</w:t>
      </w:r>
    </w:p>
    <w:p w14:paraId="2DB234F4"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eastAsia="Calibri" w:hAnsi="Calibri" w:cs="Calibri"/>
          <w:sz w:val="22"/>
        </w:rPr>
        <w:t xml:space="preserve">EBIT amounted to 9.8 MSEK (7.9). </w:t>
      </w:r>
    </w:p>
    <w:p w14:paraId="28A643FE"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eastAsia="Calibri" w:hAnsi="Calibri" w:cs="Calibri"/>
          <w:sz w:val="22"/>
        </w:rPr>
        <w:t>Profit after tax of 1.9 MSEK (-0.8).</w:t>
      </w:r>
    </w:p>
    <w:p w14:paraId="0D8B2877"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eastAsia="Calibri" w:hAnsi="Calibri" w:cs="Calibri"/>
          <w:sz w:val="22"/>
        </w:rPr>
        <w:t>Earnings per share were 0.07 SEK (-0.03).</w:t>
      </w:r>
    </w:p>
    <w:p w14:paraId="2E9C11C2" w14:textId="77777777" w:rsidR="00DC088E" w:rsidRPr="001769E1" w:rsidRDefault="00DC088E" w:rsidP="00DC088E">
      <w:pPr>
        <w:rPr>
          <w:rFonts w:ascii="Times New Roman" w:eastAsia="Times New Roman" w:hAnsi="Times New Roman" w:cs="Times New Roman"/>
          <w:lang w:eastAsia="en-GB"/>
        </w:rPr>
      </w:pPr>
      <w:r>
        <w:rPr>
          <w:rFonts w:ascii="Calibri" w:eastAsia="Calibri" w:hAnsi="Calibri" w:cs="Calibri"/>
        </w:rPr>
        <w:t> </w:t>
      </w:r>
    </w:p>
    <w:p w14:paraId="3461FF9E" w14:textId="77777777" w:rsidR="00DC088E" w:rsidRDefault="00DC088E" w:rsidP="00DC088E">
      <w:pPr>
        <w:rPr>
          <w:rFonts w:ascii="Calibri" w:eastAsia="Times New Roman" w:hAnsi="Calibri" w:cs="Calibri"/>
          <w:b/>
          <w:bCs/>
          <w:color w:val="000000"/>
          <w:sz w:val="22"/>
          <w:szCs w:val="22"/>
          <w:lang w:eastAsia="en-GB"/>
        </w:rPr>
      </w:pPr>
      <w:r>
        <w:rPr>
          <w:rFonts w:ascii="Calibri" w:eastAsia="Calibri" w:hAnsi="Calibri" w:cs="Calibri"/>
          <w:b/>
          <w:sz w:val="22"/>
        </w:rPr>
        <w:t>First half-year</w:t>
      </w:r>
    </w:p>
    <w:p w14:paraId="2E981675" w14:textId="77777777" w:rsidR="00DC088E" w:rsidRPr="001769E1" w:rsidRDefault="00DC088E" w:rsidP="00DC088E">
      <w:pPr>
        <w:rPr>
          <w:rFonts w:ascii="Times New Roman" w:eastAsia="Times New Roman" w:hAnsi="Times New Roman" w:cs="Times New Roman"/>
          <w:lang w:eastAsia="en-GB"/>
        </w:rPr>
      </w:pPr>
    </w:p>
    <w:p w14:paraId="1BA259FA"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eastAsia="Calibri" w:hAnsi="Calibri" w:cs="Calibri"/>
          <w:sz w:val="22"/>
        </w:rPr>
        <w:t>Order intake increased by 26% to 932 MSEK (741).</w:t>
      </w:r>
    </w:p>
    <w:p w14:paraId="3E628CA2"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eastAsia="Calibri" w:hAnsi="Calibri" w:cs="Calibri"/>
          <w:sz w:val="22"/>
        </w:rPr>
        <w:t>Net sales of 741 MSEK (753).</w:t>
      </w:r>
    </w:p>
    <w:p w14:paraId="65BA0142"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eastAsia="Calibri" w:hAnsi="Calibri" w:cs="Calibri"/>
          <w:sz w:val="22"/>
        </w:rPr>
        <w:t xml:space="preserve">EBIT amounted to 14.5 MSEK (16.3). </w:t>
      </w:r>
    </w:p>
    <w:p w14:paraId="2BCF3C16"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eastAsia="Calibri" w:hAnsi="Calibri" w:cs="Calibri"/>
          <w:sz w:val="22"/>
        </w:rPr>
        <w:t>Profit after tax of 3.6 MSEK (4.4).</w:t>
      </w:r>
    </w:p>
    <w:p w14:paraId="4840DC2D"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eastAsia="Calibri" w:hAnsi="Calibri" w:cs="Calibri"/>
          <w:sz w:val="22"/>
        </w:rPr>
        <w:t>Earnings per share were 0.12 SEK (0.16).</w:t>
      </w:r>
    </w:p>
    <w:p w14:paraId="7B4B8F6C"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eastAsia="Calibri" w:hAnsi="Calibri" w:cs="Calibri"/>
          <w:sz w:val="22"/>
        </w:rPr>
        <w:t>Acquisition of ELTEC of Germany.</w:t>
      </w:r>
    </w:p>
    <w:p w14:paraId="1CCA23B7" w14:textId="77777777" w:rsidR="00DC088E" w:rsidRPr="001769E1" w:rsidRDefault="00DC088E" w:rsidP="00DC088E">
      <w:pPr>
        <w:rPr>
          <w:rFonts w:ascii="Times New Roman" w:eastAsia="Times New Roman" w:hAnsi="Times New Roman" w:cs="Times New Roman"/>
          <w:lang w:eastAsia="en-GB"/>
        </w:rPr>
      </w:pPr>
      <w:r>
        <w:rPr>
          <w:rFonts w:ascii="Calibri" w:eastAsia="Calibri" w:hAnsi="Calibri" w:cs="Calibri"/>
          <w:b/>
          <w:sz w:val="22"/>
        </w:rPr>
        <w:t> </w:t>
      </w:r>
    </w:p>
    <w:p w14:paraId="11C8D22A" w14:textId="77777777" w:rsidR="00DC088E" w:rsidRPr="001769E1" w:rsidRDefault="00DC088E" w:rsidP="00DC088E">
      <w:pPr>
        <w:rPr>
          <w:rFonts w:ascii="Times New Roman" w:eastAsia="Times New Roman" w:hAnsi="Times New Roman" w:cs="Times New Roman"/>
          <w:lang w:eastAsia="en-GB"/>
        </w:rPr>
      </w:pPr>
      <w:r>
        <w:rPr>
          <w:rFonts w:ascii="Calibri" w:eastAsia="Calibri" w:hAnsi="Calibri" w:cs="Calibri"/>
          <w:b/>
          <w:sz w:val="22"/>
        </w:rPr>
        <w:t>Comments from CEO Per Samuelsson:</w:t>
      </w:r>
    </w:p>
    <w:p w14:paraId="60334EF3" w14:textId="77777777" w:rsidR="00DC088E" w:rsidRPr="001769E1" w:rsidRDefault="00DC088E" w:rsidP="00DC088E">
      <w:pPr>
        <w:rPr>
          <w:rFonts w:ascii="Times New Roman" w:eastAsia="Times New Roman" w:hAnsi="Times New Roman" w:cs="Times New Roman"/>
          <w:lang w:eastAsia="en-GB"/>
        </w:rPr>
      </w:pPr>
      <w:r>
        <w:rPr>
          <w:rFonts w:ascii="Calibri" w:eastAsia="Calibri" w:hAnsi="Calibri" w:cs="Calibri"/>
          <w:b/>
          <w:sz w:val="22"/>
        </w:rPr>
        <w:t> </w:t>
      </w:r>
    </w:p>
    <w:p w14:paraId="2B68BB3C" w14:textId="77777777" w:rsidR="00DC088E" w:rsidRPr="001769E1" w:rsidRDefault="00DC088E" w:rsidP="00DC088E">
      <w:pPr>
        <w:rPr>
          <w:rFonts w:ascii="Times New Roman" w:eastAsia="Times New Roman" w:hAnsi="Times New Roman" w:cs="Times New Roman"/>
          <w:lang w:eastAsia="en-GB"/>
        </w:rPr>
      </w:pPr>
      <w:r>
        <w:rPr>
          <w:rFonts w:ascii="Calibri" w:eastAsia="Calibri" w:hAnsi="Calibri" w:cs="Calibri"/>
          <w:sz w:val="22"/>
        </w:rPr>
        <w:t>“BEIJER GROUP’s order intake set a new record in the second quarter. With an increase of over 50%, we passed 500 MSEK order intake in a single quarter for the first time. This is a sign of strength, and evidence that our growth strategies are now paying off. We’ve also noted how the upturn is broad based, covering all three of the Group’s business entities, and all geographical regions.</w:t>
      </w:r>
    </w:p>
    <w:p w14:paraId="6BE3C968" w14:textId="77777777" w:rsidR="00DC088E" w:rsidRPr="001769E1" w:rsidRDefault="00DC088E" w:rsidP="00DC088E">
      <w:pPr>
        <w:rPr>
          <w:rFonts w:ascii="Times New Roman" w:eastAsia="Times New Roman" w:hAnsi="Times New Roman" w:cs="Times New Roman"/>
          <w:lang w:eastAsia="en-GB"/>
        </w:rPr>
      </w:pPr>
      <w:r>
        <w:rPr>
          <w:rFonts w:ascii="Calibri" w:eastAsia="Calibri" w:hAnsi="Calibri" w:cs="Calibri"/>
          <w:sz w:val="22"/>
        </w:rPr>
        <w:t> </w:t>
      </w:r>
    </w:p>
    <w:p w14:paraId="2787E794" w14:textId="41160EFF" w:rsidR="00070ED1" w:rsidRDefault="00DC088E" w:rsidP="00DC088E">
      <w:pPr>
        <w:rPr>
          <w:rFonts w:ascii="Times New Roman" w:eastAsia="Times New Roman" w:hAnsi="Times New Roman" w:cs="Times New Roman"/>
          <w:lang w:eastAsia="en-GB"/>
        </w:rPr>
      </w:pPr>
      <w:r>
        <w:rPr>
          <w:rFonts w:ascii="Calibri" w:eastAsia="Calibri" w:hAnsi="Calibri" w:cs="Calibri"/>
          <w:sz w:val="22"/>
        </w:rPr>
        <w:t>It is also a sign that the effects of the pandemic and Covid</w:t>
      </w:r>
      <w:r w:rsidR="006D2440">
        <w:rPr>
          <w:rFonts w:ascii="Calibri" w:eastAsia="Calibri" w:hAnsi="Calibri" w:cs="Calibri"/>
          <w:sz w:val="22"/>
        </w:rPr>
        <w:t>-19</w:t>
      </w:r>
      <w:r>
        <w:rPr>
          <w:rFonts w:ascii="Calibri" w:eastAsia="Calibri" w:hAnsi="Calibri" w:cs="Calibri"/>
          <w:sz w:val="22"/>
        </w:rPr>
        <w:t xml:space="preserve"> on demand are starting to fade. Däremot kvarstår den globala bristen på vissa nyckelkomponenter. Det innebär att flera produkter inte fullt ut kan färdigställas enligt planer vilket medför störningar i leveranskedjorna. Det påverkade BEIJER GROUPs leveranser under det andra kvartalet liksom under det första kvartalet.</w:t>
      </w:r>
    </w:p>
    <w:p w14:paraId="2B9A9951" w14:textId="6801C8F9" w:rsidR="00DC088E" w:rsidRPr="001769E1" w:rsidRDefault="00DC088E" w:rsidP="00DC088E">
      <w:pPr>
        <w:rPr>
          <w:rFonts w:ascii="Times New Roman" w:eastAsia="Times New Roman" w:hAnsi="Times New Roman" w:cs="Times New Roman"/>
          <w:lang w:eastAsia="en-GB"/>
        </w:rPr>
      </w:pPr>
      <w:r>
        <w:rPr>
          <w:rFonts w:ascii="Calibri" w:eastAsia="Calibri" w:hAnsi="Calibri" w:cs="Calibri"/>
          <w:sz w:val="22"/>
        </w:rPr>
        <w:t> </w:t>
      </w:r>
    </w:p>
    <w:p w14:paraId="64F889A5" w14:textId="77777777" w:rsidR="00DC088E" w:rsidRPr="001769E1" w:rsidRDefault="00DC088E" w:rsidP="00DC088E">
      <w:pPr>
        <w:rPr>
          <w:rFonts w:ascii="Times New Roman" w:eastAsia="Times New Roman" w:hAnsi="Times New Roman" w:cs="Times New Roman"/>
          <w:lang w:eastAsia="en-GB"/>
        </w:rPr>
      </w:pPr>
      <w:r>
        <w:rPr>
          <w:rFonts w:ascii="Calibri" w:eastAsia="Calibri" w:hAnsi="Calibri" w:cs="Calibri"/>
          <w:sz w:val="22"/>
        </w:rPr>
        <w:t>Rörelseresultatet steg med 24 procent men det påverkades negativt av bortfallet i omsättning. Jag kan som VD konstatera att resultatet ligger på en för låg nivå och att det till synes är en bit kvar till att nå våra lönsamhetsmål. Men jag har god tillförsikt i att vi är på rätt väg och hyser optimism inför framtiden. Vårt resultat under andra kvartalet kunde ha varit väsentligt högre om vi haft en normal leveranssituation. Komponentbristen har även medfört inslag av höjda priser på nyckelkomponenter som kommer att föras vidare till nästa led under kommande kvartal.</w:t>
      </w:r>
    </w:p>
    <w:p w14:paraId="2DC57B40" w14:textId="77777777" w:rsidR="00DC088E" w:rsidRPr="001769E1" w:rsidRDefault="00DC088E" w:rsidP="00DC088E">
      <w:pPr>
        <w:rPr>
          <w:rFonts w:ascii="Times New Roman" w:eastAsia="Times New Roman" w:hAnsi="Times New Roman" w:cs="Times New Roman"/>
          <w:lang w:eastAsia="en-GB"/>
        </w:rPr>
      </w:pPr>
      <w:r>
        <w:rPr>
          <w:rFonts w:ascii="Calibri" w:eastAsia="Calibri" w:hAnsi="Calibri" w:cs="Calibri"/>
          <w:sz w:val="22"/>
        </w:rPr>
        <w:t> </w:t>
      </w:r>
    </w:p>
    <w:p w14:paraId="668ED086" w14:textId="0C1606D7" w:rsidR="00952453" w:rsidRDefault="00DC088E" w:rsidP="00DC088E">
      <w:r w:rsidRPr="001769E1">
        <w:rPr>
          <w:rFonts w:ascii="Calibri" w:eastAsia="Times New Roman" w:hAnsi="Calibri" w:cs="Calibri"/>
          <w:color w:val="000000"/>
          <w:sz w:val="22"/>
          <w:szCs w:val="22"/>
          <w:lang w:eastAsia="en-GB"/>
        </w:rPr>
        <w:t>Det är också viktigt att betona att problemen med leveranserna hänger samman med komponentbristen och inte interna kapacitetsproblem. Vi har valt att bygga upp ett visst lager av produkter för att snabbt kunna leverera när väl den enskilda komponenten är på plats.</w:t>
      </w:r>
    </w:p>
    <w:sectPr w:rsidR="00952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074"/>
    <w:multiLevelType w:val="multilevel"/>
    <w:tmpl w:val="BE1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32857"/>
    <w:multiLevelType w:val="multilevel"/>
    <w:tmpl w:val="7BA2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8E"/>
    <w:rsid w:val="00070ED1"/>
    <w:rsid w:val="006D2440"/>
    <w:rsid w:val="00A2177D"/>
    <w:rsid w:val="00DC088E"/>
    <w:rsid w:val="00E92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D68409"/>
  <w15:chartTrackingRefBased/>
  <w15:docId w15:val="{94E2013A-D5BE-7849-BAF5-AF3CB98A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Gabriel</dc:creator>
  <cp:lastModifiedBy>Turner, Gabriel</cp:lastModifiedBy>
  <cp:revision>3</cp:revision>
  <dcterms:created xsi:type="dcterms:W3CDTF">2021-08-16T12:06:00Z</dcterms:created>
  <dcterms:modified xsi:type="dcterms:W3CDTF">2021-08-18T12:14:00Z</dcterms:modified>
</cp:coreProperties>
</file>