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E10D"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36"/>
          <w:szCs w:val="36"/>
          <w:lang w:eastAsia="en-GB"/>
        </w:rPr>
        <w:t>Delårsrapport för Beijer Electronics Group AB</w:t>
      </w:r>
    </w:p>
    <w:p w14:paraId="0E245E68"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32"/>
          <w:szCs w:val="32"/>
          <w:lang w:eastAsia="en-GB"/>
        </w:rPr>
        <w:t>1 januari-30 juni 2021</w:t>
      </w:r>
    </w:p>
    <w:p w14:paraId="2446757A"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32"/>
          <w:szCs w:val="32"/>
          <w:lang w:eastAsia="en-GB"/>
        </w:rPr>
        <w:t> </w:t>
      </w:r>
    </w:p>
    <w:p w14:paraId="3E159DEA"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Stort lyft i orderingången ger stabil bas för högre försäljning och förbättrade resultat</w:t>
      </w:r>
    </w:p>
    <w:p w14:paraId="5E57F69E"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6F9CF8B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Andra kvartalet</w:t>
      </w:r>
    </w:p>
    <w:p w14:paraId="73FE8534"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06491E7F"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Orderingången steg 53 med procent till 514 mkr (335).</w:t>
      </w:r>
    </w:p>
    <w:p w14:paraId="3E239254"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Nettoomsättningen ökade med nio procent till 390 mkr (357).</w:t>
      </w:r>
    </w:p>
    <w:p w14:paraId="75B17016"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Rörelseresultatet uppgick till 9,8 mkr (7,9).</w:t>
      </w:r>
    </w:p>
    <w:p w14:paraId="3325F873"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efter skatt uppgick till 1,9 mkr (-0,8).</w:t>
      </w:r>
    </w:p>
    <w:p w14:paraId="52B92260" w14:textId="77777777" w:rsidR="001769E1" w:rsidRPr="001769E1" w:rsidRDefault="001769E1" w:rsidP="001769E1">
      <w:pPr>
        <w:numPr>
          <w:ilvl w:val="0"/>
          <w:numId w:val="1"/>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per aktie blev 0,07 kronor (-0,03).</w:t>
      </w:r>
    </w:p>
    <w:p w14:paraId="2368AB79"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lang w:eastAsia="en-GB"/>
        </w:rPr>
        <w:t> </w:t>
      </w:r>
    </w:p>
    <w:p w14:paraId="0186F855" w14:textId="39E93813" w:rsidR="001769E1" w:rsidRDefault="001769E1" w:rsidP="001769E1">
      <w:pPr>
        <w:rPr>
          <w:rFonts w:ascii="Calibri" w:eastAsia="Times New Roman" w:hAnsi="Calibri" w:cs="Calibri"/>
          <w:b/>
          <w:bCs/>
          <w:color w:val="000000"/>
          <w:sz w:val="22"/>
          <w:szCs w:val="22"/>
          <w:lang w:eastAsia="en-GB"/>
        </w:rPr>
      </w:pPr>
      <w:r w:rsidRPr="001769E1">
        <w:rPr>
          <w:rFonts w:ascii="Calibri" w:eastAsia="Times New Roman" w:hAnsi="Calibri" w:cs="Calibri"/>
          <w:b/>
          <w:bCs/>
          <w:color w:val="000000"/>
          <w:sz w:val="22"/>
          <w:szCs w:val="22"/>
          <w:lang w:eastAsia="en-GB"/>
        </w:rPr>
        <w:t>Första halvåret</w:t>
      </w:r>
    </w:p>
    <w:p w14:paraId="4318F4B6" w14:textId="77777777" w:rsidR="00F976A0" w:rsidRPr="001769E1" w:rsidRDefault="00F976A0" w:rsidP="001769E1">
      <w:pPr>
        <w:rPr>
          <w:rFonts w:ascii="Times New Roman" w:eastAsia="Times New Roman" w:hAnsi="Times New Roman" w:cs="Times New Roman"/>
          <w:lang w:eastAsia="en-GB"/>
        </w:rPr>
      </w:pPr>
    </w:p>
    <w:p w14:paraId="31F19146"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Orderingången steg med 26 procent till 932 mkr (741).</w:t>
      </w:r>
    </w:p>
    <w:p w14:paraId="1B5EED58"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Nettoomsättningen uppgick till 741 mkr (753).</w:t>
      </w:r>
    </w:p>
    <w:p w14:paraId="23C40FD1"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Rörelseresultatet blev 14,5 mkr (16,3).</w:t>
      </w:r>
    </w:p>
    <w:p w14:paraId="339F81A8"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efter skatt uppgick till 3,6 mkr (4,4).</w:t>
      </w:r>
    </w:p>
    <w:p w14:paraId="093DD91F"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Resultatet per aktie blev 0,12 kronor (0,16).</w:t>
      </w:r>
    </w:p>
    <w:p w14:paraId="24BF363E" w14:textId="77777777" w:rsidR="001769E1" w:rsidRPr="001769E1" w:rsidRDefault="001769E1" w:rsidP="001769E1">
      <w:pPr>
        <w:numPr>
          <w:ilvl w:val="0"/>
          <w:numId w:val="2"/>
        </w:numPr>
        <w:textAlignment w:val="baseline"/>
        <w:rPr>
          <w:rFonts w:ascii="Times New Roman" w:eastAsia="Times New Roman" w:hAnsi="Times New Roman" w:cs="Times New Roman"/>
          <w:color w:val="000000"/>
          <w:lang w:eastAsia="en-GB"/>
        </w:rPr>
      </w:pPr>
      <w:r w:rsidRPr="001769E1">
        <w:rPr>
          <w:rFonts w:ascii="Calibri" w:eastAsia="Times New Roman" w:hAnsi="Calibri" w:cs="Calibri"/>
          <w:color w:val="000000"/>
          <w:sz w:val="22"/>
          <w:szCs w:val="22"/>
          <w:lang w:eastAsia="en-GB"/>
        </w:rPr>
        <w:t>Förvärv av tyska ELTEC.</w:t>
      </w:r>
    </w:p>
    <w:p w14:paraId="5690BEA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09EEF1DD"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VD Per Samuelsson kommenterar:</w:t>
      </w:r>
    </w:p>
    <w:p w14:paraId="2EC15758"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4A409D51"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”BEIJER GROUPs orderingång satte ett nytt rekord under det andra kvartalet. Med en uppgång på över 50 procent passerade vi för första gången 500 mkr i orderingång under ett enskilt kvartal. Det är ett styrkebesked och ett kvitto på att våra tillväxtstrategier nu ger resultat. Vi kan även notera att uppgången är bred och omfattar såväl koncernens tre affärsenheter som alla geografiska regioner.</w:t>
      </w:r>
    </w:p>
    <w:p w14:paraId="2BDFF7CE"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4A326956"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Uppgången är också ett tecken på att effekterna på efterfrågan från pandemin och covid-19 börjar klinga av. Däremot kvarstår den globala bristen på vissa nyckelkomponenter. Det innebär att flera produkter inte fullt ut kan färdigställas enligt planer vilket medför störningar i leveranskedjorna. Det påverkade BEIJER GROUPs leveranser under det andra kvartalet liksom under det första kvartalet.</w:t>
      </w:r>
    </w:p>
    <w:p w14:paraId="0AFFD75F"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13F603CC"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Vi bedömer att bortfallet i omsättning till följd av komponentbristen som hämmat leveranserna uppgick till 11-12 procent av försäljningen under det andra kvartalet motsvarande nästan 50 mkr. Koncernen kunde ändå öka sin försäljning med nio procent till närmare 390 mkr under perioden. Jag vill i sammanhanget ge organisationen ett erkännande hur den och medarbetarna lyckats hantera utmaningarna med komponentbristen genom flexibilitet, att hitta nya lösningar och omplaneringar.</w:t>
      </w:r>
    </w:p>
    <w:p w14:paraId="5FFC69FF"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717B4103"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Rörelseresultatet steg med 24 procent men det påverkades negativt av bortfallet i omsättning. Jag kan som VD konstatera att resultatet ligger på en för låg nivå och att det till synes är en bit kvar till att nå våra lönsamhetsmål. Men jag har god tillförsikt i att vi är på rätt väg och hyser optimism inför framtiden. Vårt resultat under andra kvartalet kunde ha varit väsentligt högre om vi haft en normal leveranssituation. Komponentbristen har även medfört inslag av höjda priser på nyckelkomponenter som kommer att föras vidare till nästa led under kommande kvartal.</w:t>
      </w:r>
    </w:p>
    <w:p w14:paraId="207A0714"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046E4ED4"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xml:space="preserve">Det är också viktigt att betona att problemen med leveranserna hänger samman med komponentbristen och inte interna kapacitetsproblem. Vi har valt att bygga upp ett visst lager av produkter för att snabbt kunna leverera när väl den enskilda komponenten är på plats. </w:t>
      </w:r>
      <w:r w:rsidRPr="001769E1">
        <w:rPr>
          <w:rFonts w:ascii="Calibri" w:eastAsia="Times New Roman" w:hAnsi="Calibri" w:cs="Calibri"/>
          <w:color w:val="000000"/>
          <w:sz w:val="22"/>
          <w:szCs w:val="22"/>
          <w:lang w:eastAsia="en-GB"/>
        </w:rPr>
        <w:lastRenderedPageBreak/>
        <w:t>Uppbyggnaden av lager har förutom resultatpåverkan medfört ett negativt kassaflöde under perioden som kommer att vändas till ett positivt kassaflöde efter leverans. BEIJER GROUPs totala leveranskapacitet och under normala flöden av komponenter bedöms mer än väl överstiga takten i orderingången under det andra kvartalet.</w:t>
      </w:r>
    </w:p>
    <w:p w14:paraId="16D2D636"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31709C20"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Koncernens tre affärsenheter visade en positiv utveckling avseende orderingång och omsättning. Westermos orderingång steg med 40 procent och försäljningen med nio procent. Affärsenheten erhöll en större order på 36 mkr inom ramen för ett ramavtal med en nordamerikansk tågoperatör. Tyska ELTEC som förvärvades under det första kvartalet har utvecklats över förväntan och bidrog positivt till Westermos affär. Affärsenhetens rörelseresultat blev något lägre under perioden beroende på stigande komponentpriser och uteblivna leveranser till följd av komponentbristen.</w:t>
      </w:r>
    </w:p>
    <w:p w14:paraId="48224E8B"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672BF8F2"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Westermo nådde också en milstolpe under kvartalet genom lanseringen av en nya switchar inom det nya segmentet eldistribution. Westermo har nu en konkurrenskraftig produktportfölj för automatisering av ställverk och digitalisering av energisystem vilket är i linje med affärsenhetens tillväxtstrategi.</w:t>
      </w:r>
    </w:p>
    <w:p w14:paraId="1CFA3C93"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46F29304"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Beijer Electronics orderingång steg med närmare 80 procent och uppgick till över 200 mkr för andra kvartalet i rad. Försäljningen steg med sju procent och rörelseresultatet vändes från ett minus till ett nollresultat. Såväl försäljning som resultat har påverkats negativt av komponentbristen och stigande komponentpriser. Affärsenheten Korenix utvecklades likaså positivt efter de senaste årens betydande omställningar. Orderingång och försäljning ökade med närmare 30 procent och affärsenheten kunde visa ett nollresultat efter en relativt stor rörelseförlust förra året.</w:t>
      </w:r>
    </w:p>
    <w:p w14:paraId="62FEE275"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674292D2" w14:textId="77777777" w:rsidR="001769E1" w:rsidRPr="001769E1" w:rsidRDefault="001769E1" w:rsidP="001769E1">
      <w:pPr>
        <w:spacing w:after="200"/>
        <w:ind w:right="140"/>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&amp;&amp;Sammantaget är vi nöjda med den fina tillväxten i koncernens orderingång. Vid utgången av andra kvartalet var BEIJER GROUPs orderbok på cirka 750 mkr ”all time high”. Efter svackan under pandemin har den underliggande efterfrågan utvecklats starkt, särskilt i Asien. Europa har haft en successivt starkare återhämtning medan uppgången i Nordamerika varit mer försiktig.</w:t>
      </w:r>
    </w:p>
    <w:p w14:paraId="000766D9" w14:textId="77777777" w:rsidR="001769E1" w:rsidRPr="001769E1" w:rsidRDefault="001769E1" w:rsidP="001769E1">
      <w:pPr>
        <w:spacing w:after="200"/>
        <w:ind w:right="140"/>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Hur länge komponentbristen består är svårt att bedöma. Vi gör vårt yttersta för att hantera problemen och lindra de negativa effekterna. Men sett i ett lite längre perspektiv är vi trygga med att storleken på vår orderbok och den fina orderingången drivet av en stark efterfrågan konverteras till en försäljning som ger ett resultat minst i nivå med målet för rörelsemarginalen på tio procent.</w:t>
      </w:r>
    </w:p>
    <w:p w14:paraId="37013D2B" w14:textId="77777777" w:rsidR="001769E1" w:rsidRPr="001769E1" w:rsidRDefault="001769E1" w:rsidP="001769E1">
      <w:pPr>
        <w:spacing w:after="200"/>
        <w:ind w:right="140"/>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För helåret 2021 ligger vår bedömning fast. BEIJER GROUP har goda förutsättningar att visa ett bättre ekonomiskt utfall för 2021 jämfört med 2020.”</w:t>
      </w:r>
    </w:p>
    <w:p w14:paraId="45946626"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Koncernen det andra kvartalet</w:t>
      </w:r>
    </w:p>
    <w:p w14:paraId="691FAAE0"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 </w:t>
      </w:r>
    </w:p>
    <w:p w14:paraId="7EEB42DD"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Koncernens orderingång steg med 53 procent till 514 mkr (335) under det andra kvartalet 2021. Justerat för valutaeffekter steg orderingången med 60 procent. Orderingången för alla tre affärsenheter ökade.</w:t>
      </w:r>
    </w:p>
    <w:p w14:paraId="2271234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69633288"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Koncernens omsättning steg med nio procent till 390 mkr (357). Justerat för valutaeffekter steg omsättningen med 14 procent. Alla tre affärsenheter ökade sin omsättning.</w:t>
      </w:r>
    </w:p>
    <w:p w14:paraId="1D968026"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31BEE522"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xml:space="preserve">Koncernens rörelseresultat före avskrivningar uppgick till 47,2 mkr (44,9). Avskrivningarna uppgick till 37,4 mkr (37,0). Rörelseresultatet blev 9,8 mkr (7,9) motsvarande en rörelsemarginal på 2,5 procent. (2,2). Rörelseresultatet påverkades av negativa valutaeffekter om 4,4 mkr. Resultatet påverkades negativt av bortfall i leveranser beroende på komponentbristen och stigande </w:t>
      </w:r>
      <w:r w:rsidRPr="001769E1">
        <w:rPr>
          <w:rFonts w:ascii="Calibri" w:eastAsia="Times New Roman" w:hAnsi="Calibri" w:cs="Calibri"/>
          <w:color w:val="000000"/>
          <w:sz w:val="22"/>
          <w:szCs w:val="22"/>
          <w:lang w:eastAsia="en-GB"/>
        </w:rPr>
        <w:lastRenderedPageBreak/>
        <w:t>komponentpriser. De totala utvecklingsutgifterna uppgick till 53,3 mkr (48,4). Det motsvarade 13,7 procent (13,5) av koncernens försäljning.</w:t>
      </w:r>
    </w:p>
    <w:p w14:paraId="03690D1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7027E69F"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Resultatet före skatt uppgick till 2,7 mkr (0,4). Finansnettot blev -7,1 mkr (-7,6). Resultatet efter beräknad skatt uppgick till 1,9 mkr (-0,8). Resultatet per aktie efter beräknad skatt var 0,07 kronor (-0,03).</w:t>
      </w:r>
    </w:p>
    <w:p w14:paraId="45C7559A"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0B2BC7E5"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Koncernen det första halvåret</w:t>
      </w:r>
    </w:p>
    <w:p w14:paraId="29A0529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Koncernens orderingång ökade med 26 procent till 932 mkr (741) under det första halvåret 2021. Justerat för valutaeffekter steg orderingången med 32 procent. Orderingången för de tre affärsenheterna ökade.</w:t>
      </w:r>
    </w:p>
    <w:p w14:paraId="068D3FC1"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73D37ADE"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Koncernens omsättning minskade till 741 mkr (753). Justerat för valutaeffekter steg omsättningen med tre procent. Korenix ökade sin omsättning medan den minskade för Westermo och Beijer Electronics.</w:t>
      </w:r>
    </w:p>
    <w:p w14:paraId="131D99DA"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71A3F5C4"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Koncernens rörelseresultat före avskrivningar uppgick till 86,5 mkr (88,5). Avskrivningarna uppgick till 72,1 mkr (72,2). Rörelseresultatet blev 14,5 mkr (16,3) motsvarande en rörelsemarginal på 2,0 procent (2,2). Resultatet påverkades negativt av bortfall i leveranser beroende på komponentbristen och stigande komponentpriser. Resultatet 2020 belastades med engångskostnader om 15 mkr. De totala utvecklingsutgifterna uppgick till 98,8 mkr (100,7). Det motsvarade 13,3 procent (13,4) av koncernens försäljning.</w:t>
      </w:r>
    </w:p>
    <w:p w14:paraId="3A185B89"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537C7002"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Resultatet före skatt uppgick till 5,8 mkr (7,5). Finansnettot blev -8,7 mkr (-8,8). Resultatet efter beräknad skatt uppgick till 3,6 mkr (4,4). Resultatet per aktie efter beräknad skatt var 0,12 kronor (0,16).</w:t>
      </w:r>
    </w:p>
    <w:p w14:paraId="67E1E360"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5FDCD43B"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8"/>
          <w:szCs w:val="28"/>
          <w:lang w:eastAsia="en-GB"/>
        </w:rPr>
        <w:t>Affärsenhet Westermo</w:t>
      </w:r>
    </w:p>
    <w:p w14:paraId="35C6CD0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8"/>
          <w:szCs w:val="28"/>
          <w:lang w:eastAsia="en-GB"/>
        </w:rPr>
        <w:t> </w:t>
      </w:r>
    </w:p>
    <w:p w14:paraId="26B4471B"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Westermos orderingång vände kraftigt uppåt under det andra kvartalet efter nedgången under det första kvartalet. Bakom uppgången låg bland annat en större order på 36 mkr från en nordamerikansk tågoperatör inom ramen för ett ramavtal som tecknades förra året. Härutöver bidrog några mellanstora beställningar samt tillskottet från tyska ELTEC som förvärvades den 1 april 2021. Även i övrigt utvecklades orderingången positivt efter den lägre efterfrågan som följde av pandemin.</w:t>
      </w:r>
    </w:p>
    <w:p w14:paraId="6D18AE2C"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66DEC63E"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Affärsenhetens omsättning ökade också men i en långsammare takt. Försäljningen har påverkats av uteblivna leveranser till följd av bristen på nyckelkomponenter, särskilt elektronikkomponenter. Det påverkade liksom stigande priser på komponenter även resultatet som blev något lägre jämfört med föregående år. Tyska ELTEC har utvecklats bättre än väntat och har bidragit till affärsenhetens orderingång, omsättning och resultat.</w:t>
      </w:r>
    </w:p>
    <w:p w14:paraId="0B6826E5"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35A8E806"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Efter en omfattande utveckling och certifieringsprocess lanserade Westermo under det andra kvartalet nya och robusta nätverkslösningar med bland annat nya och anpassade switchar för segmentet energidistribution. Lanseringen är en milstolpe och innebär att Westermo kan erbjuda segmentet en komplett produktportfölj som möjliggör automatisering av ställverk och digitalisering av energisystem. Det är en stor och växande marknad som Westermo identifierat inom ramen för affärsenhetens tillväxtstrategi.</w:t>
      </w:r>
    </w:p>
    <w:p w14:paraId="2BD9F6F0"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63E316F9"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Andra kvartalet</w:t>
      </w:r>
    </w:p>
    <w:p w14:paraId="19F53ABB"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lastRenderedPageBreak/>
        <w:t>Orderingången steg med 40 procent till 277 mkr (199) inklusive förvärvet av ELTEC. Omsättningen ökade med nio procent till 206 mkr (189). Rörelseresultatet före avskrivningar uppgick till 37,5 mkr (37,3). Avskrivningarna var 17,8 mkr (15,6). Rörelseresultatet uppgick till 19,7 mkr (21,6). Det motsvarade en rörelsemarginal på 9,6 procent (11,4).</w:t>
      </w:r>
    </w:p>
    <w:p w14:paraId="6FDADD7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3A6F0DA6"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Första halvåret</w:t>
      </w:r>
    </w:p>
    <w:p w14:paraId="516B770A"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Orderingången steg med tolv procent till 449 mkr (400). Omsättningen minskade till 394 mkr (404). Rörelseresultatet före avskrivningar uppgick till 70,7 mkr (85,2). Avskrivningarna var 34,0 mkr (30,2) Rörelseresultatet uppgick till 36,7 mkr (55,0). Det motsvarade en rörelsemarginal på 9,3 procent (13,6).</w:t>
      </w:r>
    </w:p>
    <w:p w14:paraId="22C29D64"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1F1CC83E"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8"/>
          <w:szCs w:val="28"/>
          <w:lang w:eastAsia="en-GB"/>
        </w:rPr>
        <w:t>Affärsenhet Beijer Electronics</w:t>
      </w:r>
    </w:p>
    <w:p w14:paraId="2E3AADDE"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1C2CF218"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Beijer Electronics utveckling fortsatte att peka i positiv riktning under det andra kvartalet. Affärsenhetens orderingång, som är den viktigaste indikatorn för framtida tillväxt i försäljningen, steg med 79 procent under perioden och översteg med råge 200 mkr för andra kvartalet i rad. Uppgången är bred och omfattar alla regioner. Starkast har efterfrågan varit i Asien. I Europa har återhämtningen blivit successivt bättre medan USA haft en mer försiktig utveckling.</w:t>
      </w:r>
    </w:p>
    <w:p w14:paraId="03505166"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3B4F5EE4"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Affärsenhetens omsättning steg med sju procent. Försäljningen har dock liksom under det första kvartalet hämmats av den globala bristen på vissa elektronikkomponenter. Bortfallet i försäljningen på grund av uteblivna leveranser bedöms ha uppgått till över tio procent av omsättningen motsvarande cirka 20 mkr. Det påverkade resultatet som i annat fall skulle varit högre. Resultatet förbättrades ändå jämfört med samma period 2020 så en rörelseförlust kunde vändas till ett nollresultat under det andra kvartalet i år. Affärsenheten har även mött vissa prishöjningar på särskilt nyckelkomponenter. Prishöjningarna kommer att föras vidare till nästa led under kommande kvartal.</w:t>
      </w:r>
    </w:p>
    <w:p w14:paraId="6EF82A71"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41812B2F"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&amp;&amp;Försäljningen av X2-terminalerna har fortsatt utvecklats positivt och under perioden svarade de för nära 70 procent av affärsenhetens omsättning. Under det första halvåret lanserades två uppdaterade versioner av operatörsterminalen X2 base varav den ena är en inträdesmodell och den andra en modell med högre prestanda. Samarbetet med affärsenheten Korenix har fortskridit enligt plan.</w:t>
      </w:r>
    </w:p>
    <w:p w14:paraId="136286EA"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45DE7482"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Andra kvartalet</w:t>
      </w:r>
    </w:p>
    <w:p w14:paraId="02286D3B"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Orderingången ökade med 79 procent till 216 mkr (121). Omsättningen steg med sju procent till 164 mkr (153). Rörelseresultatet före avskrivningar uppgick till  13,8 mkr (12,3). Avskrivningarna blev 13,8 mkr (14,3). Rörelseresultatet uppgick till 0 mkr (-2,0).</w:t>
      </w:r>
    </w:p>
    <w:p w14:paraId="63F3274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0236CD81"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Första halvåret</w:t>
      </w:r>
    </w:p>
    <w:p w14:paraId="0B7677E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Orderingången ökade med 42 procent till 437 mkr (308). Omsättningen minskade till 308 mkr (317). Rörelseresultatet före avskrivningar uppgick till 25,7 mkr (21,4). Avskrivningarna blev 26,2 mkr (27,9). Rörelseresultatet uppgick till -0,5 mkr (-6,6). Resultatet 2020 belastades med omstruktureringskostnader om 9,4 mkr.</w:t>
      </w:r>
    </w:p>
    <w:p w14:paraId="5AE28893"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3F9E4DF4"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37215D09"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8"/>
          <w:szCs w:val="28"/>
          <w:lang w:eastAsia="en-GB"/>
        </w:rPr>
        <w:t>Affärsenhet Korenix</w:t>
      </w:r>
    </w:p>
    <w:p w14:paraId="15FB027B"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599AE4DA"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xml:space="preserve">Korenix kunde visa en positiv utveckling för andra kvartalet i rad vilket vittna r om att affärsenheten är på rätt väg. Orderingången steg med 27 procent under det andra kvartalet. Omsättningen ökade med 26 procent under samma period. Uppgången har varit bred och relativt jämt fördelad mellan </w:t>
      </w:r>
      <w:r w:rsidRPr="001769E1">
        <w:rPr>
          <w:rFonts w:ascii="Calibri" w:eastAsia="Times New Roman" w:hAnsi="Calibri" w:cs="Calibri"/>
          <w:color w:val="000000"/>
          <w:sz w:val="22"/>
          <w:szCs w:val="22"/>
          <w:lang w:eastAsia="en-GB"/>
        </w:rPr>
        <w:lastRenderedPageBreak/>
        <w:t>olika segment och regioner. Det är främst Korenix OEM-kunder som svarat för den stigande efterfrågan. Det har samtidigt noterats att en del projekt fortsatt senareläggs vilket främst påverkar orderingången.</w:t>
      </w:r>
    </w:p>
    <w:p w14:paraId="264A5391"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0C74A963"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Med tidigare besparingsprogram i kombination med stigande volymer kunde Korenix visa en klar resultatförbättring med ett litet plus i rörelseresultat. Liksom koncernens övriga affärsenheter har Korenix i viss utsträckning påverkats av den globala komponentbristen. Såväl försäljning som resultat skulle i annat fall varit högre.</w:t>
      </w:r>
    </w:p>
    <w:p w14:paraId="7292E7EB"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08D821FA"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Samarbetet med affärsenheten Beijer Electronics har löpt enligt plan. Samordningen på säljsidan ger önskade resultat med bland annat ett gemensamt projekt avseende nätverkskommunikation för bussar i Frankrike. Leveranskedjorna samordnas och en gemensam organisation för försäljning och produktledning håller på att utformas. Under hösten kommer ett första gemensamt utvecklingsprojekt att initieras.</w:t>
      </w:r>
    </w:p>
    <w:p w14:paraId="669C342F"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118ACA0A"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&amp;&amp;Andra kvartalet</w:t>
      </w:r>
    </w:p>
    <w:p w14:paraId="1475A8BE"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Orderingången steg med 27 procent till 25 mkr (20). Omsättningen ökade med 26 procent till 24 mkr (19). Rörelseresultatet före avskrivningar blev 2,5 mkr (0). Avskrivningarna uppgick till 2,4 mkr (3,3). Rörelseresultatet uppgick till 0,1 mkr (-3,3).</w:t>
      </w:r>
    </w:p>
    <w:p w14:paraId="00D742F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5D30AB36"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Första halvåret</w:t>
      </w:r>
    </w:p>
    <w:p w14:paraId="2F251A46"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Orderingången steg med 32 procent till 53 mkr (40). Omsättningen ökade med 17 procent till 46 mkr (39). Rörelseresultatet före avskrivningar blev 3,6 mkr (-5,7). Avskrivningarna uppgick till 4,9 mkr (6,7). Rörelseresultatet uppgick till -1,3 mkr (-12,4). Resultatet 2020 belastades med omstruktureringskostnader om 2,9 mkr.</w:t>
      </w:r>
    </w:p>
    <w:p w14:paraId="3D6DC4B3"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371FD5A1"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Övrig ekonomisk information</w:t>
      </w:r>
    </w:p>
    <w:p w14:paraId="5B5349B8" w14:textId="77777777" w:rsidR="001769E1" w:rsidRPr="001769E1" w:rsidRDefault="001769E1" w:rsidP="001769E1">
      <w:pPr>
        <w:spacing w:after="120"/>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Koncernens investeringar inklusive balanserade utvecklingskostnader och förvärv uppgick till 148 mkr (48) under det första halvåret. Kassaflödet från den löpande verksamheten var 23,6 mkr (88,9). Det egna kapitalet uppgick till 667 mkr (698) den sista juni 2021. Soliditeten var 31,6 procent (34,2). Likvida medel uppgick till  140 mkr (121). Nettoskulden var 821 mkr (740). Medeltalet anställda var 779 medarbetare (799).</w:t>
      </w:r>
    </w:p>
    <w:p w14:paraId="253FF595" w14:textId="77777777" w:rsidR="001769E1" w:rsidRPr="001769E1" w:rsidRDefault="001769E1" w:rsidP="001769E1">
      <w:pPr>
        <w:spacing w:after="120"/>
        <w:ind w:right="1140"/>
        <w:rPr>
          <w:rFonts w:ascii="Times New Roman" w:eastAsia="Times New Roman" w:hAnsi="Times New Roman" w:cs="Times New Roman"/>
          <w:lang w:eastAsia="en-GB"/>
        </w:rPr>
      </w:pPr>
      <w:r w:rsidRPr="001769E1">
        <w:rPr>
          <w:rFonts w:ascii="Calibri" w:eastAsia="Times New Roman" w:hAnsi="Calibri" w:cs="Calibri"/>
          <w:b/>
          <w:bCs/>
          <w:color w:val="000000"/>
          <w:sz w:val="22"/>
          <w:szCs w:val="22"/>
          <w:lang w:eastAsia="en-GB"/>
        </w:rPr>
        <w:t>Emission av C-aktier</w:t>
      </w:r>
    </w:p>
    <w:p w14:paraId="21BD1186"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Styrelsen beslutade i mars 2021 i enlighet med beslut på årsstämman 2020 att emittera 99 538 C-aktier med ett kvotvärde av 0,33 kronor. Emissionen riktades till ett finansiellt institut och återköptes omedelbart av bolaget. De återköpta C-aktierna avses vid leverans till anställda år 2023 omvandlas till stamaktier, i enlighet med villkoren för incitamentsprogrammet LTI 2020/2023. Efter genomfört återköp av C-aktier uppgår antalet aktier till 28 951 938, varav 28 768 324 stamaktier och 183 614 C-aktier, motsvarande totalt 28 786 685,40  röster.</w:t>
      </w:r>
    </w:p>
    <w:p w14:paraId="6D560497"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17FAF691"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b/>
          <w:bCs/>
          <w:color w:val="000000"/>
          <w:lang w:eastAsia="en-GB"/>
        </w:rPr>
        <w:t>Viktiga händelser</w:t>
      </w:r>
    </w:p>
    <w:p w14:paraId="11D1C6C3" w14:textId="77777777" w:rsidR="001769E1" w:rsidRPr="001769E1" w:rsidRDefault="001769E1" w:rsidP="001769E1">
      <w:pPr>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BEIJER GROUP tecknade i januari 2021 genom affärsenheten Westermo ett leveransavtal om minst 25 miljoner euro (drygt 250 mkr) över en femårsperiod med tågtillverkaren Alstom. Avtalet specificerar leveranser av nätverksutrustning utifrån ett ramavtal parterna emellan. Alstom är redan en viktig kund till Westermo. Från 2021 kommer leveranserna till Alstoms tågsida successivt öka under den kommande femårsperioden.</w:t>
      </w:r>
    </w:p>
    <w:p w14:paraId="37C2CF27" w14:textId="77777777" w:rsidR="001769E1" w:rsidRPr="001769E1" w:rsidRDefault="001769E1" w:rsidP="001769E1">
      <w:pPr>
        <w:spacing w:after="200"/>
        <w:ind w:right="140"/>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w:t>
      </w:r>
    </w:p>
    <w:p w14:paraId="4791DA5E" w14:textId="77777777" w:rsidR="001769E1" w:rsidRPr="001769E1" w:rsidRDefault="001769E1" w:rsidP="001769E1">
      <w:pPr>
        <w:spacing w:after="200"/>
        <w:ind w:right="140"/>
        <w:rPr>
          <w:rFonts w:ascii="Times New Roman" w:eastAsia="Times New Roman" w:hAnsi="Times New Roman" w:cs="Times New Roman"/>
          <w:lang w:eastAsia="en-GB"/>
        </w:rPr>
      </w:pPr>
      <w:r w:rsidRPr="001769E1">
        <w:rPr>
          <w:rFonts w:ascii="Calibri" w:eastAsia="Times New Roman" w:hAnsi="Calibri" w:cs="Calibri"/>
          <w:color w:val="000000"/>
          <w:sz w:val="22"/>
          <w:szCs w:val="22"/>
          <w:lang w:eastAsia="en-GB"/>
        </w:rPr>
        <w:t xml:space="preserve">BEIJER GROUP tecknade i mars 2021 genom affärsenheten Westermo ett avtal om förvärv av 100 procent av det tyska bolaget ELTEC Elektronik AG. ELTEC är ett innovativt teknologibolag inom kommunikationslösningar till uppkopplade tåg. Bolaget är specialiserat på trådlösa </w:t>
      </w:r>
      <w:r w:rsidRPr="001769E1">
        <w:rPr>
          <w:rFonts w:ascii="Calibri" w:eastAsia="Times New Roman" w:hAnsi="Calibri" w:cs="Calibri"/>
          <w:color w:val="000000"/>
          <w:sz w:val="22"/>
          <w:szCs w:val="22"/>
          <w:lang w:eastAsia="en-GB"/>
        </w:rPr>
        <w:lastRenderedPageBreak/>
        <w:t>kommunikationslösningar på passagerarinformation, infotainment och Wi-Fi-nätverk för  passagerare. Bland bolagets kunder återfinns Europas största tågoperatörer och systemintegratörer inom uppkopplade tåg. ELTEC har cirka 35 medarbetare och en försäljning på 65 mkr på årsbasis. ELTEC kompletterar Westermos verksamhet inom tågsidan. Köpeskillingen uppgick till 10,5 miljoner euro på skuldfri basis och finansierades genom koncernens befintliga finansieringsavtal. Förvärvet slutfördes den 1 april 2021 och bolaget ingår i Westermos och koncernens räkenskaper från den 1 april 2021. ELTEC kommer att ha begränsad påverkan på BEIJER GROUPs resultat under 2021 men förväntas bidra från 2022 och framåt i linje med Westermos lönsamhetsnivå.</w:t>
      </w:r>
    </w:p>
    <w:p w14:paraId="417321C3" w14:textId="77777777" w:rsidR="001769E1" w:rsidRPr="001769E1" w:rsidRDefault="001769E1" w:rsidP="001769E1">
      <w:pPr>
        <w:rPr>
          <w:rFonts w:ascii="Times New Roman" w:eastAsia="Times New Roman" w:hAnsi="Times New Roman" w:cs="Times New Roman"/>
          <w:lang w:eastAsia="en-GB"/>
        </w:rPr>
      </w:pPr>
    </w:p>
    <w:p w14:paraId="2A2884D6" w14:textId="77777777" w:rsidR="00952453" w:rsidRDefault="000910E1"/>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E1"/>
    <w:rsid w:val="000910E1"/>
    <w:rsid w:val="001769E1"/>
    <w:rsid w:val="00377579"/>
    <w:rsid w:val="00A2177D"/>
    <w:rsid w:val="00E92F6F"/>
    <w:rsid w:val="00F97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0A6F45"/>
  <w15:chartTrackingRefBased/>
  <w15:docId w15:val="{7D56C80F-9144-A04C-9E6E-0E655096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9E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8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Gabriel</dc:creator>
  <cp:keywords/>
  <dc:description/>
  <cp:lastModifiedBy>Turner, Gabriel</cp:lastModifiedBy>
  <cp:revision>3</cp:revision>
  <dcterms:created xsi:type="dcterms:W3CDTF">2021-08-15T12:21:00Z</dcterms:created>
  <dcterms:modified xsi:type="dcterms:W3CDTF">2021-08-15T18:05:00Z</dcterms:modified>
</cp:coreProperties>
</file>