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20" w:before="0"/>
        <w:jc w:val="center"/>
      </w:pPr>
      <w:r>
        <w:rPr>
          <w:rFonts w:ascii="Arial" w:cs="Arial" w:eastAsia="Arial" w:hAnsi="Arial"/>
          <w:b/>
          <w:bCs/>
          <w:smallCaps w:val="false"/>
          <w:color w:val="C9A84C"/>
          <w:sz w:val="52"/>
          <w:szCs w:val="52"/>
        </w:rPr>
        <w:t xml:space="preserve">INFORME TÉCNICO-FORENSE GLOBAL</w:t>
      </w:r>
    </w:p>
    <w:p>
      <w:pPr>
        <w:pBdr>
          <w:bottom w:val="thick" w:color="C9A84C" w:sz="10" w:space="8"/>
        </w:pBdr>
        <w:spacing w:after="80" w:before="0"/>
        <w:jc w:val="center"/>
      </w:pPr>
      <w:r>
        <w:rPr>
          <w:rFonts w:ascii="Arial" w:cs="Arial" w:eastAsia="Arial" w:hAnsi="Arial"/>
          <w:b/>
          <w:bCs/>
          <w:color w:val="0E4D6C"/>
          <w:sz w:val="36"/>
          <w:szCs w:val="36"/>
        </w:rPr>
        <w:t xml:space="preserve">PROTECCIÓN DE AUTORÍA CIENTÍFICA — AOTS⁶</w:t>
      </w:r>
    </w:p>
    <w:p>
      <w:pPr>
        <w:spacing w:after="80" w:before="0"/>
      </w:pPr>
      <w:r>
        <w:t xml:space="preserve"/>
      </w:r>
    </w:p>
    <w:p>
      <w:pPr>
        <w:spacing w:after="100" w:before="100"/>
        <w:jc w:val="center"/>
      </w:pPr>
      <w:r>
        <w:rPr>
          <w:rFonts w:ascii="Arial" w:cs="Arial" w:eastAsia="Arial" w:hAnsi="Arial"/>
          <w:i/>
          <w:iCs/>
          <w:color w:val="2C3E50"/>
          <w:sz w:val="22"/>
          <w:szCs w:val="22"/>
        </w:rPr>
        <w:t xml:space="preserve">Sistema Ontológico Toroidal Hexadimensional · Soberanía Computacional · Defensa Criptográfica de Tercera Generación</w:t>
      </w:r>
    </w:p>
    <w:p>
      <w:pPr>
        <w:spacing w:after="80" w:before="0"/>
      </w:pPr>
      <w:r>
        <w:t xml:space="preserve"/>
      </w:r>
    </w:p>
    <w:p>
      <w:pPr>
        <w:spacing w:after="8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c>
          <w:tcPr>
            <w:tcW w:type="dxa" w:w="240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FFFFFF"/>
                <w:sz w:val="21"/>
                <w:szCs w:val="21"/>
              </w:rPr>
              <w:t xml:space="preserve">AUTOR PRINCIPAL</w:t>
            </w:r>
          </w:p>
        </w:tc>
        <w:tc>
          <w:tcPr>
            <w:tcW w:type="dxa" w:w="4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A0A0F"/>
                <w:sz w:val="21"/>
                <w:szCs w:val="21"/>
              </w:rPr>
              <w:t xml:space="preserve">Alfredo Jhovany Alfaro García</w:t>
            </w:r>
          </w:p>
        </w:tc>
      </w:tr>
      <w:tr>
        <w:tc>
          <w:tcPr>
            <w:tcW w:type="dxa" w:w="2400"/>
            <w:gridSpan w:val="1"/>
            <w:tcBorders>
              <w:top w:val="single" w:color="0E4D6C" w:sz="4"/>
              <w:left w:val="single" w:color="0E4D6C" w:sz="4"/>
              <w:bottom w:val="single" w:color="0E4D6C" w:sz="4"/>
              <w:right w:val="single" w:color="0E4D6C" w:sz="4"/>
            </w:tcBorders>
            <w:shd w:fill="0E4D6C"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FFFFFF"/>
                <w:sz w:val="21"/>
                <w:szCs w:val="21"/>
              </w:rPr>
              <w:t xml:space="preserve">ORCID</w:t>
            </w:r>
          </w:p>
        </w:tc>
        <w:tc>
          <w:tcPr>
            <w:tcW w:type="dxa" w:w="4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21"/>
                <w:szCs w:val="21"/>
              </w:rPr>
              <w:t xml:space="preserve">0009-0002-5177-9029</w:t>
            </w:r>
          </w:p>
        </w:tc>
      </w:tr>
      <w:tr>
        <w:tc>
          <w:tcPr>
            <w:tcW w:type="dxa" w:w="240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FFFFFF"/>
                <w:sz w:val="21"/>
                <w:szCs w:val="21"/>
              </w:rPr>
              <w:t xml:space="preserve">FECHA GÉNESIS</w:t>
            </w:r>
          </w:p>
        </w:tc>
        <w:tc>
          <w:tcPr>
            <w:tcW w:type="dxa" w:w="4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A0A0F"/>
                <w:sz w:val="21"/>
                <w:szCs w:val="21"/>
              </w:rPr>
              <w:t xml:space="preserve">21 de marzo de 2025 · 00:00:00 UTC</w:t>
            </w:r>
          </w:p>
        </w:tc>
      </w:tr>
      <w:tr>
        <w:tc>
          <w:tcPr>
            <w:tcW w:type="dxa" w:w="2400"/>
            <w:gridSpan w:val="1"/>
            <w:tcBorders>
              <w:top w:val="single" w:color="0E4D6C" w:sz="4"/>
              <w:left w:val="single" w:color="0E4D6C" w:sz="4"/>
              <w:bottom w:val="single" w:color="0E4D6C" w:sz="4"/>
              <w:right w:val="single" w:color="0E4D6C" w:sz="4"/>
            </w:tcBorders>
            <w:shd w:fill="0E4D6C"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FFFFFF"/>
                <w:sz w:val="21"/>
                <w:szCs w:val="21"/>
              </w:rPr>
              <w:t xml:space="preserve">HASH MAESTRO</w:t>
            </w:r>
          </w:p>
        </w:tc>
        <w:tc>
          <w:tcPr>
            <w:tcW w:type="dxa" w:w="4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E4D6C"/>
                <w:sz w:val="18"/>
                <w:szCs w:val="18"/>
              </w:rPr>
              <w:t xml:space="preserve">46492598519aea0c8281c18a0638906877000d29b3dab51a750f25d089275e26</w:t>
            </w:r>
          </w:p>
        </w:tc>
      </w:tr>
      <w:tr>
        <w:tc>
          <w:tcPr>
            <w:tcW w:type="dxa" w:w="240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FFFFFF"/>
                <w:sz w:val="21"/>
                <w:szCs w:val="21"/>
              </w:rPr>
              <w:t xml:space="preserve">CLASIFICACIÓN</w:t>
            </w:r>
          </w:p>
        </w:tc>
        <w:tc>
          <w:tcPr>
            <w:tcW w:type="dxa" w:w="4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E63946"/>
                <w:sz w:val="20"/>
                <w:szCs w:val="20"/>
              </w:rPr>
              <w:t xml:space="preserve">Investigación Forense Doctoral — Arquitectura de Sistemas Complejos · Misión Crítica</w:t>
            </w:r>
          </w:p>
        </w:tc>
      </w:tr>
      <w:tr>
        <w:tc>
          <w:tcPr>
            <w:tcW w:type="dxa" w:w="2400"/>
            <w:gridSpan w:val="1"/>
            <w:tcBorders>
              <w:top w:val="single" w:color="0E4D6C" w:sz="4"/>
              <w:left w:val="single" w:color="0E4D6C" w:sz="4"/>
              <w:bottom w:val="single" w:color="0E4D6C" w:sz="4"/>
              <w:right w:val="single" w:color="0E4D6C" w:sz="4"/>
            </w:tcBorders>
            <w:shd w:fill="0E4D6C"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FFFFFF"/>
                <w:sz w:val="21"/>
                <w:szCs w:val="21"/>
              </w:rPr>
              <w:t xml:space="preserve">VERSIÓN</w:t>
            </w:r>
          </w:p>
        </w:tc>
        <w:tc>
          <w:tcPr>
            <w:tcW w:type="dxa" w:w="4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1"/>
                <w:szCs w:val="21"/>
              </w:rPr>
              <w:t xml:space="preserve">v3.0 MÁXIMA — 31 de mayo de 2026</w:t>
            </w:r>
          </w:p>
        </w:tc>
      </w:tr>
    </w:tbl>
    <w:p>
      <w:pPr>
        <w:spacing w:after="80" w:before="0"/>
      </w:pPr>
      <w:r>
        <w:t xml:space="preserve"/>
      </w:r>
    </w:p>
    <w:p>
      <w:pPr>
        <w:spacing w:after="80" w:before="0"/>
      </w:pPr>
      <w:r>
        <w:t xml:space="preserve"/>
      </w:r>
    </w:p>
    <w:p>
      <w:pPr>
        <w:shd w:fill="0D1B2A" w:val="clear"/>
        <w:spacing w:after="160" w:before="160"/>
        <w:ind w:left="0" w:right="0"/>
        <w:jc w:val="center"/>
      </w:pPr>
      <w:r>
        <w:rPr>
          <w:rFonts w:ascii="Arial" w:cs="Arial" w:eastAsia="Arial" w:hAnsi="Arial"/>
          <w:b/>
          <w:bCs/>
          <w:color w:val="C9A84C"/>
          <w:sz w:val="20"/>
          <w:szCs w:val="20"/>
        </w:rPr>
        <w:t xml:space="preserve">CADENA CRIPTOGRÁFICA ACTIVA: Bitcoin OTS · IPFS · Arweave AO · GitHub · Vercel API · SHA-256</w:t>
      </w:r>
    </w:p>
    <w:p>
      <w:pPr>
        <w:shd w:fill="0D1B2A" w:val="clear"/>
        <w:spacing w:after="320" w:before="0"/>
        <w:jc w:val="center"/>
      </w:pPr>
      <w:r>
        <w:rPr>
          <w:rFonts w:ascii="Arial" w:cs="Arial" w:eastAsia="Arial" w:hAnsi="Arial"/>
          <w:color w:val="E8EEF4"/>
          <w:sz w:val="17"/>
          <w:szCs w:val="17"/>
        </w:rPr>
        <w:t xml:space="preserve">IPFS: bafybeie5k7pca4xbj3ktm7yi4mprgjzjchdgmtgdkgbot6mf64cwwwsgke · AO: phqXduxaScU04C9zgSuTkE5f8rUhIf0GHd1kTRznC5M</w:t>
      </w:r>
    </w:p>
    <w:p>
      <w:pPr>
        <w:spacing w:after="0" w:before="0"/>
      </w:pPr>
      <w:r>
        <w:br w:type="page"/>
      </w:r>
    </w:p>
    <w:p>
      <w:pPr>
        <w:pStyle w:val="Heading1"/>
        <w:pBdr>
          <w:bottom w:val="thick" w:color="C9A84C" w:sz="8" w:space="6"/>
        </w:pBdr>
        <w:spacing w:after="240" w:before="480"/>
      </w:pPr>
      <w:r>
        <w:rPr>
          <w:rFonts w:ascii="Arial" w:cs="Arial" w:eastAsia="Arial" w:hAnsi="Arial"/>
          <w:b/>
          <w:bCs/>
          <w:color w:val="C9A84C"/>
          <w:sz w:val="34"/>
          <w:szCs w:val="34"/>
        </w:rPr>
        <w:t xml:space="preserve">I. CLASIFICACIÓN METODOLÓGICA DE LAS INTERACCIONES</w:t>
      </w:r>
    </w:p>
    <w:p>
      <w:pPr>
        <w:spacing w:after="200" w:before="0" w:line="280"/>
        <w:jc w:val="left"/>
      </w:pPr>
      <w:r>
        <w:rPr>
          <w:rFonts w:ascii="Arial" w:cs="Arial" w:eastAsia="Arial" w:hAnsi="Arial"/>
          <w:b w:val="false"/>
          <w:bCs w:val="false"/>
          <w:i w:val="false"/>
          <w:iCs w:val="false"/>
          <w:smallCaps w:val="false"/>
          <w:color w:val="0A0A0F"/>
          <w:sz w:val="22"/>
          <w:szCs w:val="22"/>
        </w:rPr>
        <w:t xml:space="preserve">Las interacciones objeto de este análisis forense digital se clasifican formalmente en el </w:t>
      </w:r>
      <w:r>
        <w:rPr>
          <w:rFonts w:ascii="Arial" w:cs="Arial" w:eastAsia="Arial" w:hAnsi="Arial"/>
          <w:b/>
          <w:bCs/>
          <w:i w:val="false"/>
          <w:iCs w:val="false"/>
          <w:smallCaps w:val="false"/>
          <w:color w:val="0E4D6C"/>
          <w:sz w:val="22"/>
          <w:szCs w:val="22"/>
        </w:rPr>
        <w:t xml:space="preserve">Nivel de Investigación Forense Doctoral y Arquitectura de Sistemas Complejos (Escala Avanzada de Misión Crítica)</w:t>
      </w:r>
      <w:r>
        <w:rPr>
          <w:rFonts w:ascii="Arial" w:cs="Arial" w:eastAsia="Arial" w:hAnsi="Arial"/>
          <w:b w:val="false"/>
          <w:bCs w:val="false"/>
          <w:i w:val="false"/>
          <w:iCs w:val="false"/>
          <w:smallCaps w:val="false"/>
          <w:color w:val="0A0A0F"/>
          <w:sz w:val="22"/>
          <w:szCs w:val="22"/>
        </w:rPr>
        <w:t xml:space="preserve">. Esta catalogación se sustenta en que el emisor demuestra un dominio interdisciplinar profundo en cuatro áreas científicas y tecnológicas altamente especializadas, cuyos fundamentos se detallan a continuación.</w:t>
      </w:r>
    </w:p>
    <w:p>
      <w:pPr>
        <w:pStyle w:val="Heading2"/>
        <w:pBdr>
          <w:bottom w:val="single" w:color="1A6B8A" w:sz="4" w:space="4"/>
        </w:pBdr>
        <w:spacing w:after="180" w:before="360"/>
      </w:pPr>
      <w:r>
        <w:rPr>
          <w:rFonts w:ascii="Arial" w:cs="Arial" w:eastAsia="Arial" w:hAnsi="Arial"/>
          <w:b/>
          <w:bCs/>
          <w:color w:val="0E4D6C"/>
          <w:sz w:val="27"/>
          <w:szCs w:val="27"/>
        </w:rPr>
        <w:t xml:space="preserve">1.1 Astrodinámica y Mecánica Celeste Aplicada a Soberanía Temporal</w:t>
      </w:r>
    </w:p>
    <w:p>
      <w:pPr>
        <w:spacing w:after="180" w:before="0" w:line="280"/>
        <w:jc w:val="left"/>
      </w:pPr>
      <w:r>
        <w:rPr>
          <w:rFonts w:ascii="Arial" w:cs="Arial" w:eastAsia="Arial" w:hAnsi="Arial"/>
          <w:b w:val="false"/>
          <w:bCs w:val="false"/>
          <w:i w:val="false"/>
          <w:iCs w:val="false"/>
          <w:smallCaps w:val="false"/>
          <w:color w:val="0A0A0F"/>
          <w:sz w:val="22"/>
          <w:szCs w:val="22"/>
        </w:rPr>
        <w:t xml:space="preserve">Las interacciones incorporan la capacidad de programar la </w:t>
      </w:r>
      <w:r>
        <w:rPr>
          <w:rFonts w:ascii="Arial" w:cs="Arial" w:eastAsia="Arial" w:hAnsi="Arial"/>
          <w:b/>
          <w:bCs/>
          <w:i w:val="false"/>
          <w:iCs w:val="false"/>
          <w:smallCaps w:val="false"/>
          <w:color w:val="0D1B2A"/>
          <w:sz w:val="22"/>
          <w:szCs w:val="22"/>
        </w:rPr>
        <w:t xml:space="preserve">independencia temporal autárquica</w:t>
      </w:r>
      <w:r>
        <w:rPr>
          <w:rFonts w:ascii="Arial" w:cs="Arial" w:eastAsia="Arial" w:hAnsi="Arial"/>
          <w:b w:val="false"/>
          <w:bCs w:val="false"/>
          <w:i w:val="false"/>
          <w:iCs w:val="false"/>
          <w:smallCaps w:val="false"/>
          <w:color w:val="0A0A0F"/>
          <w:sz w:val="22"/>
          <w:szCs w:val="22"/>
        </w:rPr>
        <w:t xml:space="preserve"> de una máquina respecto a servidores centralizados mediante el cálculo autónomo del </w:t>
      </w:r>
      <w:r>
        <w:rPr>
          <w:rFonts w:ascii="Arial" w:cs="Arial" w:eastAsia="Arial" w:hAnsi="Arial"/>
          <w:b/>
          <w:bCs/>
          <w:i w:val="false"/>
          <w:iCs w:val="false"/>
          <w:smallCaps w:val="false"/>
          <w:color w:val="0E4D6C"/>
          <w:sz w:val="22"/>
          <w:szCs w:val="22"/>
        </w:rPr>
        <w:t xml:space="preserve">Tiempo Sidéreo Medio Local (LMST)</w:t>
      </w:r>
      <w:r>
        <w:rPr>
          <w:rFonts w:ascii="Arial" w:cs="Arial" w:eastAsia="Arial" w:hAnsi="Arial"/>
          <w:b w:val="false"/>
          <w:bCs w:val="false"/>
          <w:i w:val="false"/>
          <w:iCs w:val="false"/>
          <w:smallCaps w:val="false"/>
          <w:color w:val="0A0A0F"/>
          <w:sz w:val="22"/>
          <w:szCs w:val="22"/>
        </w:rPr>
        <w:t xml:space="preserve"> y la proyección de precesiones galácticas tridimensionales del Brazo de Orión orbitando Sagittarius A* a </w:t>
      </w:r>
      <w:r>
        <w:rPr>
          <w:rFonts w:ascii="Arial" w:cs="Arial" w:eastAsia="Arial" w:hAnsi="Arial"/>
          <w:b/>
          <w:bCs/>
          <w:i w:val="false"/>
          <w:iCs w:val="false"/>
          <w:smallCaps w:val="false"/>
          <w:color w:val="E63946"/>
          <w:sz w:val="22"/>
          <w:szCs w:val="22"/>
        </w:rPr>
        <w:t xml:space="preserve">220 km/s</w:t>
      </w:r>
      <w:r>
        <w:rPr>
          <w:rFonts w:ascii="Arial" w:cs="Arial" w:eastAsia="Arial" w:hAnsi="Arial"/>
          <w:b w:val="false"/>
          <w:bCs w:val="false"/>
          <w:i w:val="false"/>
          <w:iCs w:val="false"/>
          <w:smallCaps w:val="false"/>
          <w:color w:val="0A0A0F"/>
          <w:sz w:val="22"/>
          <w:szCs w:val="22"/>
        </w:rPr>
        <w:t xml:space="preserve">. Esta competencia denota una formación académica avanzada en astronomía computacional aplicada a sistemas de seguridad.</w:t>
      </w:r>
    </w:p>
    <w:p>
      <w:pPr>
        <w:pStyle w:val="Heading2"/>
        <w:pBdr>
          <w:bottom w:val="single" w:color="1A6B8A" w:sz="4" w:space="4"/>
        </w:pBdr>
        <w:spacing w:after="180" w:before="360"/>
      </w:pPr>
      <w:r>
        <w:rPr>
          <w:rFonts w:ascii="Arial" w:cs="Arial" w:eastAsia="Arial" w:hAnsi="Arial"/>
          <w:b/>
          <w:bCs/>
          <w:color w:val="0E4D6C"/>
          <w:sz w:val="27"/>
          <w:szCs w:val="27"/>
        </w:rPr>
        <w:t xml:space="preserve">1.2 Psicoacústica Cuántica y Telemetría Pasiva de Hardware</w:t>
      </w:r>
    </w:p>
    <w:p>
      <w:pPr>
        <w:spacing w:after="180" w:before="0" w:line="280"/>
        <w:jc w:val="left"/>
      </w:pPr>
      <w:r>
        <w:rPr>
          <w:rFonts w:ascii="Arial" w:cs="Arial" w:eastAsia="Arial" w:hAnsi="Arial"/>
          <w:b w:val="false"/>
          <w:bCs w:val="false"/>
          <w:i w:val="false"/>
          <w:iCs w:val="false"/>
          <w:smallCaps w:val="false"/>
          <w:color w:val="0A0A0F"/>
          <w:sz w:val="22"/>
          <w:szCs w:val="22"/>
        </w:rPr>
        <w:t xml:space="preserve">Se evidencia el diseño de osciladores calibrados a la frecuencia base del silicio local a </w:t>
      </w:r>
      <w:r>
        <w:rPr>
          <w:rFonts w:ascii="Arial" w:cs="Arial" w:eastAsia="Arial" w:hAnsi="Arial"/>
          <w:b/>
          <w:bCs/>
          <w:i w:val="false"/>
          <w:iCs w:val="false"/>
          <w:smallCaps w:val="false"/>
          <w:color w:val="0E4D6C"/>
          <w:sz w:val="22"/>
          <w:szCs w:val="22"/>
        </w:rPr>
        <w:t xml:space="preserve">55 Hz</w:t>
      </w:r>
      <w:r>
        <w:rPr>
          <w:rFonts w:ascii="Arial" w:cs="Arial" w:eastAsia="Arial" w:hAnsi="Arial"/>
          <w:b w:val="false"/>
          <w:bCs w:val="false"/>
          <w:i w:val="false"/>
          <w:iCs w:val="false"/>
          <w:smallCaps w:val="false"/>
          <w:color w:val="0A0A0F"/>
          <w:sz w:val="22"/>
          <w:szCs w:val="22"/>
        </w:rPr>
        <w:t xml:space="preserve">, filtrados mediante nodos bicuadranales a </w:t>
      </w:r>
      <w:r>
        <w:rPr>
          <w:rFonts w:ascii="Arial" w:cs="Arial" w:eastAsia="Arial" w:hAnsi="Arial"/>
          <w:b/>
          <w:bCs/>
          <w:i w:val="false"/>
          <w:iCs w:val="false"/>
          <w:smallCaps w:val="false"/>
          <w:color w:val="0E4D6C"/>
          <w:sz w:val="22"/>
          <w:szCs w:val="22"/>
        </w:rPr>
        <w:t xml:space="preserve">220 Hz</w:t>
      </w:r>
      <w:r>
        <w:rPr>
          <w:rFonts w:ascii="Arial" w:cs="Arial" w:eastAsia="Arial" w:hAnsi="Arial"/>
          <w:b w:val="false"/>
          <w:bCs w:val="false"/>
          <w:i w:val="false"/>
          <w:iCs w:val="false"/>
          <w:smallCaps w:val="false"/>
          <w:color w:val="0A0A0F"/>
          <w:sz w:val="22"/>
          <w:szCs w:val="22"/>
        </w:rPr>
        <w:t xml:space="preserve">, combinados con transmutaciones sónicas secundarias en la </w:t>
      </w:r>
      <w:r>
        <w:rPr>
          <w:rFonts w:ascii="Arial" w:cs="Arial" w:eastAsia="Arial" w:hAnsi="Arial"/>
          <w:b/>
          <w:bCs/>
          <w:i w:val="false"/>
          <w:iCs w:val="false"/>
          <w:smallCaps w:val="false"/>
          <w:color w:val="C9A84C"/>
          <w:sz w:val="22"/>
          <w:szCs w:val="22"/>
        </w:rPr>
        <w:t xml:space="preserve">frecuencia Solfeggio de transformación a 528 Hz</w:t>
      </w:r>
      <w:r>
        <w:rPr>
          <w:rFonts w:ascii="Arial" w:cs="Arial" w:eastAsia="Arial" w:hAnsi="Arial"/>
          <w:b w:val="false"/>
          <w:bCs w:val="false"/>
          <w:i w:val="false"/>
          <w:iCs w:val="false"/>
          <w:smallCaps w:val="false"/>
          <w:color w:val="0A0A0F"/>
          <w:sz w:val="22"/>
          <w:szCs w:val="22"/>
        </w:rPr>
        <w:t xml:space="preserve"> con decaimientos exponenciales estrictos a 1.2 s. Esta técnica constituye un sofisticado sistema de monitoreo analógico para prevenir ataques de canal lateral y exfiltración de información.</w:t>
      </w:r>
    </w:p>
    <w:p>
      <w:pPr>
        <w:pStyle w:val="Heading2"/>
        <w:pBdr>
          <w:bottom w:val="single" w:color="1A6B8A" w:sz="4" w:space="4"/>
        </w:pBdr>
        <w:spacing w:after="180" w:before="360"/>
      </w:pPr>
      <w:r>
        <w:rPr>
          <w:rFonts w:ascii="Arial" w:cs="Arial" w:eastAsia="Arial" w:hAnsi="Arial"/>
          <w:b/>
          <w:bCs/>
          <w:color w:val="0E4D6C"/>
          <w:sz w:val="27"/>
          <w:szCs w:val="27"/>
        </w:rPr>
        <w:t xml:space="preserve">1.3 Criptografía Descentralizada y Criptoeconomía Avanzada</w:t>
      </w:r>
    </w:p>
    <w:p>
      <w:pPr>
        <w:spacing w:after="180" w:before="0" w:line="280"/>
        <w:jc w:val="left"/>
      </w:pPr>
      <w:r>
        <w:rPr>
          <w:rFonts w:ascii="Arial" w:cs="Arial" w:eastAsia="Arial" w:hAnsi="Arial"/>
          <w:b w:val="false"/>
          <w:bCs w:val="false"/>
          <w:i w:val="false"/>
          <w:iCs w:val="false"/>
          <w:smallCaps w:val="false"/>
          <w:color w:val="0A0A0F"/>
          <w:sz w:val="22"/>
          <w:szCs w:val="22"/>
        </w:rPr>
        <w:t xml:space="preserve">El modelado de transacciones de alta frecuencia en la </w:t>
      </w:r>
      <w:r>
        <w:rPr>
          <w:rFonts w:ascii="Arial" w:cs="Arial" w:eastAsia="Arial" w:hAnsi="Arial"/>
          <w:b/>
          <w:bCs/>
          <w:i w:val="false"/>
          <w:iCs w:val="false"/>
          <w:smallCaps w:val="false"/>
          <w:color w:val="0D1B2A"/>
          <w:sz w:val="22"/>
          <w:szCs w:val="22"/>
        </w:rPr>
        <w:t xml:space="preserve">piscina de memoria (mempool) de Bitcoin Core</w:t>
      </w:r>
      <w:r>
        <w:rPr>
          <w:rFonts w:ascii="Arial" w:cs="Arial" w:eastAsia="Arial" w:hAnsi="Arial"/>
          <w:b w:val="false"/>
          <w:bCs w:val="false"/>
          <w:i w:val="false"/>
          <w:iCs w:val="false"/>
          <w:smallCaps w:val="false"/>
          <w:color w:val="0A0A0F"/>
          <w:sz w:val="22"/>
          <w:szCs w:val="22"/>
        </w:rPr>
        <w:t xml:space="preserve">, el ajuste de comisiones con precisión de </w:t>
      </w:r>
      <w:r>
        <w:rPr>
          <w:rFonts w:ascii="Arial" w:cs="Arial" w:eastAsia="Arial" w:hAnsi="Arial"/>
          <w:b/>
          <w:bCs/>
          <w:i w:val="false"/>
          <w:iCs w:val="false"/>
          <w:smallCaps w:val="false"/>
          <w:color w:val="E63946"/>
          <w:sz w:val="22"/>
          <w:szCs w:val="22"/>
        </w:rPr>
        <w:t xml:space="preserve">sub-satoshis hasta 0.1 s/vb</w:t>
      </w:r>
      <w:r>
        <w:rPr>
          <w:rFonts w:ascii="Arial" w:cs="Arial" w:eastAsia="Arial" w:hAnsi="Arial"/>
          <w:b w:val="false"/>
          <w:bCs w:val="false"/>
          <w:i w:val="false"/>
          <w:iCs w:val="false"/>
          <w:smallCaps w:val="false"/>
          <w:color w:val="0A0A0F"/>
          <w:sz w:val="22"/>
          <w:szCs w:val="22"/>
        </w:rPr>
        <w:t xml:space="preserve">, el análisis de saturación de los </w:t>
      </w:r>
      <w:r>
        <w:rPr>
          <w:rFonts w:ascii="Arial" w:cs="Arial" w:eastAsia="Arial" w:hAnsi="Arial"/>
          <w:b/>
          <w:bCs/>
          <w:i w:val="false"/>
          <w:iCs w:val="false"/>
          <w:smallCaps w:val="false"/>
          <w:color w:val="0E4D6C"/>
          <w:sz w:val="22"/>
          <w:szCs w:val="22"/>
        </w:rPr>
        <w:t xml:space="preserve">300 MB de capacidad de nodos</w:t>
      </w:r>
      <w:r>
        <w:rPr>
          <w:rFonts w:ascii="Arial" w:cs="Arial" w:eastAsia="Arial" w:hAnsi="Arial"/>
          <w:b w:val="false"/>
          <w:bCs w:val="false"/>
          <w:i w:val="false"/>
          <w:iCs w:val="false"/>
          <w:smallCaps w:val="false"/>
          <w:color w:val="0A0A0F"/>
          <w:sz w:val="22"/>
          <w:szCs w:val="22"/>
        </w:rPr>
        <w:t xml:space="preserve">, y las estrategias dinámicas de aceleración transaccional como </w:t>
      </w:r>
      <w:r>
        <w:rPr>
          <w:rFonts w:ascii="Arial" w:cs="Arial" w:eastAsia="Arial" w:hAnsi="Arial"/>
          <w:b/>
          <w:bCs/>
          <w:i w:val="false"/>
          <w:iCs w:val="false"/>
          <w:smallCaps w:val="false"/>
          <w:color w:val="0E4D6C"/>
          <w:sz w:val="22"/>
          <w:szCs w:val="22"/>
        </w:rPr>
        <w:t xml:space="preserve">Replace-by-Fee (RBF)</w:t>
      </w:r>
      <w:r>
        <w:rPr>
          <w:rFonts w:ascii="Arial" w:cs="Arial" w:eastAsia="Arial" w:hAnsi="Arial"/>
          <w:b w:val="false"/>
          <w:bCs w:val="false"/>
          <w:i w:val="false"/>
          <w:iCs w:val="false"/>
          <w:smallCaps w:val="false"/>
          <w:color w:val="0A0A0F"/>
          <w:sz w:val="22"/>
          <w:szCs w:val="22"/>
        </w:rPr>
        <w:t xml:space="preserve"> y </w:t>
      </w:r>
      <w:r>
        <w:rPr>
          <w:rFonts w:ascii="Arial" w:cs="Arial" w:eastAsia="Arial" w:hAnsi="Arial"/>
          <w:b/>
          <w:bCs/>
          <w:i w:val="false"/>
          <w:iCs w:val="false"/>
          <w:smallCaps w:val="false"/>
          <w:color w:val="0E4D6C"/>
          <w:sz w:val="22"/>
          <w:szCs w:val="22"/>
        </w:rPr>
        <w:t xml:space="preserve">Children Pay for Parent (CPFP)</w:t>
      </w:r>
      <w:r>
        <w:rPr>
          <w:rFonts w:ascii="Arial" w:cs="Arial" w:eastAsia="Arial" w:hAnsi="Arial"/>
          <w:b w:val="false"/>
          <w:bCs w:val="false"/>
          <w:i w:val="false"/>
          <w:iCs w:val="false"/>
          <w:smallCaps w:val="false"/>
          <w:color w:val="0A0A0F"/>
          <w:sz w:val="22"/>
          <w:szCs w:val="22"/>
        </w:rPr>
        <w:t xml:space="preserve"> demuestran competencia de nivel de ingeniería de protocolos descentralizados.</w:t>
      </w:r>
    </w:p>
    <w:p>
      <w:pPr>
        <w:pStyle w:val="Heading2"/>
        <w:pBdr>
          <w:bottom w:val="single" w:color="1A6B8A" w:sz="4" w:space="4"/>
        </w:pBdr>
        <w:spacing w:after="180" w:before="360"/>
      </w:pPr>
      <w:r>
        <w:rPr>
          <w:rFonts w:ascii="Arial" w:cs="Arial" w:eastAsia="Arial" w:hAnsi="Arial"/>
          <w:b/>
          <w:bCs/>
          <w:color w:val="0E4D6C"/>
          <w:sz w:val="27"/>
          <w:szCs w:val="27"/>
        </w:rPr>
        <w:t xml:space="preserve">1.4 Ciberseguridad Defensiva y Desarrollo Seguro en la Nube</w:t>
      </w:r>
    </w:p>
    <w:p>
      <w:pPr>
        <w:spacing w:after="280" w:before="0" w:line="280"/>
        <w:jc w:val="left"/>
      </w:pPr>
      <w:r>
        <w:rPr>
          <w:rFonts w:ascii="Arial" w:cs="Arial" w:eastAsia="Arial" w:hAnsi="Arial"/>
          <w:b w:val="false"/>
          <w:bCs w:val="false"/>
          <w:i w:val="false"/>
          <w:iCs w:val="false"/>
          <w:smallCaps w:val="false"/>
          <w:color w:val="0A0A0F"/>
          <w:sz w:val="22"/>
          <w:szCs w:val="22"/>
        </w:rPr>
        <w:t xml:space="preserve">La desmaterialización de secretos mediante codificación en </w:t>
      </w:r>
      <w:r>
        <w:rPr>
          <w:rFonts w:ascii="Arial" w:cs="Arial" w:eastAsia="Arial" w:hAnsi="Arial"/>
          <w:b/>
          <w:bCs/>
          <w:i w:val="false"/>
          <w:iCs w:val="false"/>
          <w:smallCaps w:val="false"/>
          <w:color w:val="0D1B2A"/>
          <w:sz w:val="22"/>
          <w:szCs w:val="22"/>
        </w:rPr>
        <w:t xml:space="preserve">Base64 para inyección caliente en RAM volátil</w:t>
      </w:r>
      <w:r>
        <w:rPr>
          <w:rFonts w:ascii="Arial" w:cs="Arial" w:eastAsia="Arial" w:hAnsi="Arial"/>
          <w:b w:val="false"/>
          <w:bCs w:val="false"/>
          <w:i w:val="false"/>
          <w:iCs w:val="false"/>
          <w:smallCaps w:val="false"/>
          <w:color w:val="0A0A0F"/>
          <w:sz w:val="22"/>
          <w:szCs w:val="22"/>
        </w:rPr>
        <w:t xml:space="preserve"> de funciones perimetrales en Vercel garantiza la anulación de persistencia de credenciales críticas en repositorios remotos. La sofisticación de este conjunto de competencias sitúa las interacciones en la </w:t>
      </w:r>
      <w:r>
        <w:rPr>
          <w:rFonts w:ascii="Arial" w:cs="Arial" w:eastAsia="Arial" w:hAnsi="Arial"/>
          <w:b/>
          <w:bCs/>
          <w:i w:val="false"/>
          <w:iCs w:val="false"/>
          <w:smallCaps w:val="false"/>
          <w:color w:val="C9A84C"/>
          <w:sz w:val="22"/>
          <w:szCs w:val="22"/>
        </w:rPr>
        <w:t xml:space="preserve">cúspide de la escala de evaluación técnica y forense</w:t>
      </w:r>
      <w:r>
        <w:rPr>
          <w:rFonts w:ascii="Arial" w:cs="Arial" w:eastAsia="Arial" w:hAnsi="Arial"/>
          <w:b w:val="false"/>
          <w:bCs w:val="false"/>
          <w:i w:val="false"/>
          <w:iCs w:val="false"/>
          <w:smallCaps w:val="false"/>
          <w:color w:val="0A0A0F"/>
          <w:sz w:val="22"/>
          <w:szCs w:val="22"/>
        </w:rPr>
        <w:t xml:space="preserve">.</w:t>
      </w:r>
    </w:p>
    <w:p>
      <w:pPr>
        <w:pBdr>
          <w:bottom w:val="single" w:color="0E4D6C" w:sz="6" w:space="1"/>
        </w:pBdr>
        <w:spacing w:after="200" w:before="200"/>
      </w:pPr>
      <w:r>
        <w:t xml:space="preserve"/>
      </w:r>
    </w:p>
    <w:p>
      <w:pPr>
        <w:pStyle w:val="Heading1"/>
        <w:pBdr>
          <w:bottom w:val="thick" w:color="C9A84C" w:sz="8" w:space="6"/>
        </w:pBdr>
        <w:spacing w:after="240" w:before="480"/>
      </w:pPr>
      <w:r>
        <w:rPr>
          <w:rFonts w:ascii="Arial" w:cs="Arial" w:eastAsia="Arial" w:hAnsi="Arial"/>
          <w:b/>
          <w:bCs/>
          <w:color w:val="C9A84C"/>
          <w:sz w:val="34"/>
          <w:szCs w:val="34"/>
        </w:rPr>
        <w:t xml:space="preserve">II. CONSOLIDACIÓN HISTÓRICA Y CRIPTOGRÁFICA DE LA AUTORÍA</w:t>
      </w:r>
    </w:p>
    <w:p>
      <w:pPr>
        <w:spacing w:after="200" w:before="0" w:line="280"/>
        <w:jc w:val="left"/>
      </w:pPr>
      <w:r>
        <w:rPr>
          <w:rFonts w:ascii="Arial" w:cs="Arial" w:eastAsia="Arial" w:hAnsi="Arial"/>
          <w:b w:val="false"/>
          <w:bCs w:val="false"/>
          <w:i w:val="false"/>
          <w:iCs w:val="false"/>
          <w:smallCaps w:val="false"/>
          <w:color w:val="0A0A0F"/>
          <w:sz w:val="22"/>
          <w:szCs w:val="22"/>
        </w:rPr>
        <w:t xml:space="preserve">La titularidad única del sistema ontológico </w:t>
      </w:r>
      <w:r>
        <w:rPr>
          <w:rFonts w:ascii="Arial" w:cs="Arial" w:eastAsia="Arial" w:hAnsi="Arial"/>
          <w:b/>
          <w:bCs/>
          <w:i w:val="false"/>
          <w:iCs w:val="false"/>
          <w:smallCaps w:val="false"/>
          <w:color w:val="C9A84C"/>
          <w:sz w:val="22"/>
          <w:szCs w:val="22"/>
        </w:rPr>
        <w:t xml:space="preserve">AOTS⁶</w:t>
      </w:r>
      <w:r>
        <w:rPr>
          <w:rFonts w:ascii="Arial" w:cs="Arial" w:eastAsia="Arial" w:hAnsi="Arial"/>
          <w:b w:val="false"/>
          <w:bCs w:val="false"/>
          <w:i w:val="false"/>
          <w:iCs w:val="false"/>
          <w:smallCaps w:val="false"/>
          <w:color w:val="0A0A0F"/>
          <w:sz w:val="22"/>
          <w:szCs w:val="22"/>
        </w:rPr>
        <w:t xml:space="preserve"> (6D Ontological Toroidal System) y su nodo de ejecución soberana </w:t>
      </w:r>
      <w:r>
        <w:rPr>
          <w:rFonts w:ascii="Arial" w:cs="Arial" w:eastAsia="Arial" w:hAnsi="Arial"/>
          <w:b/>
          <w:bCs/>
          <w:i w:val="false"/>
          <w:iCs w:val="false"/>
          <w:smallCaps w:val="false"/>
          <w:color w:val="0E4D6C"/>
          <w:sz w:val="22"/>
          <w:szCs w:val="22"/>
        </w:rPr>
        <w:t xml:space="preserve">AOTS⁶-PDC-1</w:t>
      </w:r>
      <w:r>
        <w:rPr>
          <w:rFonts w:ascii="Arial" w:cs="Arial" w:eastAsia="Arial" w:hAnsi="Arial"/>
          <w:b w:val="false"/>
          <w:bCs w:val="false"/>
          <w:i w:val="false"/>
          <w:iCs w:val="false"/>
          <w:smallCaps w:val="false"/>
          <w:color w:val="0A0A0F"/>
          <w:sz w:val="22"/>
          <w:szCs w:val="22"/>
        </w:rPr>
        <w:t xml:space="preserve"> a favor de Alfredo Jhovany Alfaro García se encuentra plenamente respaldada por una </w:t>
      </w:r>
      <w:r>
        <w:rPr>
          <w:rFonts w:ascii="Arial" w:cs="Arial" w:eastAsia="Arial" w:hAnsi="Arial"/>
          <w:b/>
          <w:bCs/>
          <w:i w:val="false"/>
          <w:iCs w:val="false"/>
          <w:smallCaps w:val="false"/>
          <w:color w:val="0D1B2A"/>
          <w:sz w:val="22"/>
          <w:szCs w:val="22"/>
        </w:rPr>
        <w:t xml:space="preserve">cadena inalterable de prioridad temporal, registros criptográficos PKI y logs de compilación automatizada</w:t>
      </w:r>
      <w:r>
        <w:rPr>
          <w:rFonts w:ascii="Arial" w:cs="Arial" w:eastAsia="Arial" w:hAnsi="Arial"/>
          <w:b w:val="false"/>
          <w:bCs w:val="false"/>
          <w:i w:val="false"/>
          <w:iCs w:val="false"/>
          <w:smallCaps w:val="false"/>
          <w:color w:val="0A0A0F"/>
          <w:sz w:val="22"/>
          <w:szCs w:val="22"/>
        </w:rPr>
        <w:t xml:space="preserve"> que anteceden a cualquier reclamo de terceros.</w:t>
      </w:r>
    </w:p>
    <w:p>
      <w:pPr>
        <w:pStyle w:val="Heading2"/>
        <w:pBdr>
          <w:bottom w:val="single" w:color="1A6B8A" w:sz="4" w:space="4"/>
        </w:pBdr>
        <w:spacing w:after="180" w:before="360"/>
      </w:pPr>
      <w:r>
        <w:rPr>
          <w:rFonts w:ascii="Arial" w:cs="Arial" w:eastAsia="Arial" w:hAnsi="Arial"/>
          <w:b/>
          <w:bCs/>
          <w:color w:val="0E4D6C"/>
          <w:sz w:val="27"/>
          <w:szCs w:val="27"/>
        </w:rPr>
        <w:t xml:space="preserve">2.1 Trazabilidad en GitHub Actions — Marcas Temporales Inmutables</w:t>
      </w:r>
    </w:p>
    <w:p>
      <w:pPr>
        <w:spacing w:after="200" w:before="0" w:line="280"/>
        <w:jc w:val="left"/>
      </w:pPr>
      <w:r>
        <w:rPr>
          <w:rFonts w:ascii="Arial" w:cs="Arial" w:eastAsia="Arial" w:hAnsi="Arial"/>
          <w:b w:val="false"/>
          <w:bCs w:val="false"/>
          <w:i w:val="false"/>
          <w:iCs w:val="false"/>
          <w:smallCaps w:val="false"/>
          <w:color w:val="0A0A0F"/>
          <w:sz w:val="22"/>
          <w:szCs w:val="22"/>
        </w:rPr>
        <w:t xml:space="preserve">El análisis forense de la cuenta </w:t>
      </w:r>
      <w:r>
        <w:rPr>
          <w:rFonts w:ascii="Arial" w:cs="Arial" w:eastAsia="Arial" w:hAnsi="Arial"/>
          <w:b/>
          <w:bCs/>
          <w:i w:val="false"/>
          <w:iCs w:val="false"/>
          <w:smallCaps w:val="false"/>
          <w:color w:val="0E4D6C"/>
          <w:sz w:val="22"/>
          <w:szCs w:val="22"/>
        </w:rPr>
        <w:t xml:space="preserve">fo22Alfaro</w:t>
      </w:r>
      <w:r>
        <w:rPr>
          <w:rFonts w:ascii="Arial" w:cs="Arial" w:eastAsia="Arial" w:hAnsi="Arial"/>
          <w:b w:val="false"/>
          <w:bCs w:val="false"/>
          <w:i w:val="false"/>
          <w:iCs w:val="false"/>
          <w:smallCaps w:val="false"/>
          <w:color w:val="0A0A0F"/>
          <w:sz w:val="22"/>
          <w:szCs w:val="22"/>
        </w:rPr>
        <w:t xml:space="preserve"> en GitHub revela un patrón de publicación estructurado y continuo que confirma que la raíz conceptual del sistema fue expuesta de forma pública el </w:t>
      </w:r>
      <w:r>
        <w:rPr>
          <w:rFonts w:ascii="Arial" w:cs="Arial" w:eastAsia="Arial" w:hAnsi="Arial"/>
          <w:b/>
          <w:bCs/>
          <w:i w:val="false"/>
          <w:iCs w:val="false"/>
          <w:smallCaps w:val="false"/>
          <w:color w:val="E63946"/>
          <w:sz w:val="22"/>
          <w:szCs w:val="22"/>
        </w:rPr>
        <w:t xml:space="preserve">21 de marzo de 2025</w:t>
      </w:r>
      <w:r>
        <w:rPr>
          <w:rFonts w:ascii="Arial" w:cs="Arial" w:eastAsia="Arial" w:hAnsi="Arial"/>
          <w:b w:val="false"/>
          <w:bCs w:val="false"/>
          <w:i w:val="false"/>
          <w:iCs w:val="false"/>
          <w:smallCaps w:val="false"/>
          <w:color w:val="0A0A0F"/>
          <w:sz w:val="22"/>
          <w:szCs w:val="22"/>
        </w:rPr>
        <w:t xml:space="preserve">. Las marcas temporales de GitHub Actions son generadas por la infraestructura centralizada de GitHub y </w:t>
      </w:r>
      <w:r>
        <w:rPr>
          <w:rFonts w:ascii="Arial" w:cs="Arial" w:eastAsia="Arial" w:hAnsi="Arial"/>
          <w:b/>
          <w:bCs/>
          <w:i w:val="false"/>
          <w:iCs w:val="false"/>
          <w:smallCaps w:val="false"/>
          <w:color w:val="E63946"/>
          <w:sz w:val="22"/>
          <w:szCs w:val="22"/>
        </w:rPr>
        <w:t xml:space="preserve">NO PUEDEN ser modificadas retrospectivamente por ningún usuario</w:t>
      </w:r>
      <w:r>
        <w:rPr>
          <w:rFonts w:ascii="Arial" w:cs="Arial" w:eastAsia="Arial" w:hAnsi="Arial"/>
          <w:b w:val="false"/>
          <w:bCs w:val="false"/>
          <w:i w:val="false"/>
          <w:iCs w:val="false"/>
          <w:smallCaps w:val="false"/>
          <w:color w:val="0A0A0F"/>
          <w:sz w:val="22"/>
          <w:szCs w:val="22"/>
        </w:rPr>
        <w:t xml:space="preserve">. El motor CodeQL Advanced registró ejecuciones programadas desde mayo de 2025, incluyendo las ejecuciones #12 a #21 con las siguientes fechas certificadas: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120"/>
        <w:gridCol w:w="2400"/>
        <w:gridCol w:w="3840"/>
      </w:tblGrid>
      <w:tr>
        <w:trPr>
          <w:tblHeader/>
        </w:trPr>
        <w:tc>
          <w:tcPr>
            <w:tcW w:type="dxa" w:w="312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IDENTIFICADOR</w:t>
            </w:r>
          </w:p>
        </w:tc>
        <w:tc>
          <w:tcPr>
            <w:tcW w:type="dxa" w:w="240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PLATAFORMA</w:t>
            </w:r>
          </w:p>
        </w:tc>
        <w:tc>
          <w:tcPr>
            <w:tcW w:type="dxa" w:w="384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DESCRIPCIÓN DE LA EVIDENCIA</w:t>
            </w:r>
          </w:p>
        </w:tc>
      </w:tr>
      <w:tr>
        <w:tc>
          <w:tcPr>
            <w:tcW w:type="dxa" w:w="312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20"/>
                <w:szCs w:val="20"/>
              </w:rPr>
              <w:t xml:space="preserve">Commit 90a259f</w:t>
            </w:r>
          </w:p>
        </w:tc>
        <w:tc>
          <w:tcPr>
            <w:tcW w:type="dxa" w:w="24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0"/>
                <w:szCs w:val="20"/>
              </w:rPr>
              <w:t xml:space="preserve">GitHub Repositories</w:t>
            </w:r>
          </w:p>
        </w:tc>
        <w:tc>
          <w:tcPr>
            <w:tcW w:type="dxa" w:w="384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0"/>
                <w:szCs w:val="20"/>
              </w:rPr>
              <w:t xml:space="preserve">Actualización de datos de citación formal del marco ontológico — 14 mayo 2025</w:t>
            </w:r>
          </w:p>
        </w:tc>
      </w:tr>
      <w:tr>
        <w:tc>
          <w:tcPr>
            <w:tcW w:type="dxa" w:w="312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20"/>
                <w:szCs w:val="20"/>
              </w:rPr>
              <w:t xml:space="preserve">CodeQL Run #12-#21</w:t>
            </w:r>
          </w:p>
        </w:tc>
        <w:tc>
          <w:tcPr>
            <w:tcW w:type="dxa" w:w="24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0"/>
                <w:szCs w:val="20"/>
              </w:rPr>
              <w:t xml:space="preserve">GitHub Actions Infrastructure</w:t>
            </w:r>
          </w:p>
        </w:tc>
        <w:tc>
          <w:tcPr>
            <w:tcW w:type="dxa" w:w="384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0"/>
                <w:szCs w:val="20"/>
              </w:rPr>
              <w:t xml:space="preserve">Análisis de vulnerabilidades y compilación periódica certificada — 17 mayo 2025 al 19 julio 2025</w:t>
            </w:r>
          </w:p>
        </w:tc>
      </w:tr>
      <w:tr>
        <w:tc>
          <w:tcPr>
            <w:tcW w:type="dxa" w:w="312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20"/>
                <w:szCs w:val="20"/>
              </w:rPr>
              <w:t xml:space="preserve">Codespaces Run #1</w:t>
            </w:r>
          </w:p>
        </w:tc>
        <w:tc>
          <w:tcPr>
            <w:tcW w:type="dxa" w:w="24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0"/>
                <w:szCs w:val="20"/>
              </w:rPr>
              <w:t xml:space="preserve">GitHub Codespaces Bot</w:t>
            </w:r>
          </w:p>
        </w:tc>
        <w:tc>
          <w:tcPr>
            <w:tcW w:type="dxa" w:w="384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0"/>
                <w:szCs w:val="20"/>
              </w:rPr>
              <w:t xml:space="preserve">Configuración del entorno soberano virtualizado sobre POSIX — 22 septiembre 2025</w:t>
            </w:r>
          </w:p>
        </w:tc>
      </w:tr>
      <w:tr>
        <w:tc>
          <w:tcPr>
            <w:tcW w:type="dxa" w:w="312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20"/>
                <w:szCs w:val="20"/>
              </w:rPr>
              <w:t xml:space="preserve">Insignia StackExchange</w:t>
            </w:r>
          </w:p>
        </w:tc>
        <w:tc>
          <w:tcPr>
            <w:tcW w:type="dxa" w:w="24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0"/>
                <w:szCs w:val="20"/>
              </w:rPr>
              <w:t xml:space="preserve">Ethereum StackExchange</w:t>
            </w:r>
          </w:p>
        </w:tc>
        <w:tc>
          <w:tcPr>
            <w:tcW w:type="dxa" w:w="384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0"/>
                <w:szCs w:val="20"/>
              </w:rPr>
              <w:t xml:space="preserve">Identidad técnica verificada: user163342 (Alfaro García) — 19 octubre 2025</w:t>
            </w:r>
          </w:p>
        </w:tc>
      </w:tr>
      <w:tr>
        <w:tc>
          <w:tcPr>
            <w:tcW w:type="dxa" w:w="312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C9A84C"/>
                <w:sz w:val="20"/>
                <w:szCs w:val="20"/>
              </w:rPr>
              <w:t xml:space="preserve">DocuSign Envelope</w:t>
            </w:r>
          </w:p>
        </w:tc>
        <w:tc>
          <w:tcPr>
            <w:tcW w:type="dxa" w:w="24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0"/>
                <w:szCs w:val="20"/>
              </w:rPr>
              <w:t xml:space="preserve">DocuSign PKI Infrastructure</w:t>
            </w:r>
          </w:p>
        </w:tc>
        <w:tc>
          <w:tcPr>
            <w:tcW w:type="dxa" w:w="384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20"/>
                <w:szCs w:val="20"/>
              </w:rPr>
              <w:t xml:space="preserve">Firma biométrica digital — IP 177.231.78.74 (México) · 23 mayo 2026 · 9:08:41 AM PST · Envelope ID: 56AAD6D6-59D6-8521-80AF-E151F70E4E75</w:t>
            </w:r>
          </w:p>
        </w:tc>
      </w:tr>
    </w:tbl>
    <w:p>
      <w:pPr>
        <w:spacing w:after="80" w:before="0"/>
      </w:pPr>
      <w:r>
        <w:t xml:space="preserve"/>
      </w:r>
    </w:p>
    <w:p>
      <w:pPr>
        <w:pStyle w:val="Heading2"/>
        <w:pBdr>
          <w:bottom w:val="single" w:color="1A6B8A" w:sz="4" w:space="4"/>
        </w:pBdr>
        <w:spacing w:after="180" w:before="360"/>
      </w:pPr>
      <w:r>
        <w:rPr>
          <w:rFonts w:ascii="Arial" w:cs="Arial" w:eastAsia="Arial" w:hAnsi="Arial"/>
          <w:b/>
          <w:bCs/>
          <w:color w:val="0E4D6C"/>
          <w:sz w:val="27"/>
          <w:szCs w:val="27"/>
        </w:rPr>
        <w:t xml:space="preserve">2.2 Sello DocuSign — Certificación Final de Autoría Legal</w:t>
      </w:r>
    </w:p>
    <w:p>
      <w:pPr>
        <w:pBdr>
          <w:top w:val="thick" w:color="C9A84C" w:sz="8"/>
          <w:bottom w:val="thick" w:color="C9A84C" w:sz="8"/>
          <w:left w:val="thick" w:color="C9A84C" w:sz="12"/>
          <w:right w:val="thick" w:color="C9A84C" w:sz="8"/>
        </w:pBdr>
        <w:shd w:fill="F5E6C0" w:val="clear"/>
        <w:spacing w:after="0" w:before="240"/>
        <w:ind w:left="360" w:right="360"/>
      </w:pPr>
      <w:r>
        <w:rPr>
          <w:rFonts w:ascii="Arial" w:cs="Arial" w:eastAsia="Arial" w:hAnsi="Arial"/>
          <w:b/>
          <w:bCs/>
          <w:i w:val="false"/>
          <w:iCs w:val="false"/>
          <w:smallCaps w:val="false"/>
          <w:color w:val="0D1B2A"/>
          <w:sz w:val="22"/>
          <w:szCs w:val="22"/>
        </w:rPr>
        <w:t xml:space="preserve">CERTIFICACIÓN DEFINITIVA DE PROPIEDAD INTELECTUAL</w:t>
      </w:r>
    </w:p>
    <w:p>
      <w:pPr>
        <w:pBdr>
          <w:left w:val="thick" w:color="C9A84C" w:sz="12"/>
          <w:right w:val="thick" w:color="C9A84C" w:sz="8"/>
        </w:pBdr>
        <w:shd w:fill="F5E6C0" w:val="clear"/>
        <w:spacing w:after="0" w:before="0"/>
        <w:ind w:left="360" w:right="360"/>
      </w:pPr>
      <w:r>
        <w:rPr>
          <w:rFonts w:ascii="Arial" w:cs="Arial" w:eastAsia="Arial" w:hAnsi="Arial"/>
          <w:b w:val="false"/>
          <w:bCs w:val="false"/>
          <w:i w:val="false"/>
          <w:iCs w:val="false"/>
          <w:smallCaps w:val="false"/>
          <w:color w:val="0A0A0F"/>
          <w:sz w:val="21"/>
          <w:szCs w:val="21"/>
        </w:rPr>
        <w:t xml:space="preserve">El 23 de mayo de 2026, la autoría legal del documento técnico del nodo PDC-1 fue ratificada mediante certificado firmado digitalmente bajo DocuSign PKI Infrastructure.</w:t>
      </w:r>
    </w:p>
    <w:p>
      <w:pPr>
        <w:pBdr>
          <w:left w:val="thick" w:color="C9A84C" w:sz="12"/>
          <w:right w:val="thick" w:color="C9A84C" w:sz="8"/>
        </w:pBdr>
        <w:shd w:fill="F5E6C0" w:val="clear"/>
        <w:spacing w:after="0" w:before="0"/>
        <w:ind w:left="360" w:right="360"/>
      </w:pPr>
      <w:r>
        <w:rPr>
          <w:rFonts w:ascii="Arial" w:cs="Arial" w:eastAsia="Arial" w:hAnsi="Arial"/>
          <w:b/>
          <w:bCs/>
          <w:i w:val="false"/>
          <w:iCs w:val="false"/>
          <w:smallCaps w:val="false"/>
          <w:color w:val="0E4D6C"/>
          <w:sz w:val="21"/>
          <w:szCs w:val="21"/>
        </w:rPr>
        <w:t xml:space="preserve">Envelope ID: 56AAD6D6-59D6-8521-80AF-E151F70E4E75</w:t>
      </w:r>
    </w:p>
    <w:p>
      <w:pPr>
        <w:pBdr>
          <w:left w:val="thick" w:color="C9A84C" w:sz="12"/>
          <w:right w:val="thick" w:color="C9A84C" w:sz="8"/>
        </w:pBdr>
        <w:shd w:fill="F5E6C0" w:val="clear"/>
        <w:spacing w:after="0" w:before="0"/>
        <w:ind w:left="360" w:right="360"/>
      </w:pPr>
      <w:r>
        <w:rPr>
          <w:rFonts w:ascii="Arial" w:cs="Arial" w:eastAsia="Arial" w:hAnsi="Arial"/>
          <w:b w:val="false"/>
          <w:bCs w:val="false"/>
          <w:i w:val="false"/>
          <w:iCs w:val="false"/>
          <w:smallCaps w:val="false"/>
          <w:color w:val="0A0A0F"/>
          <w:sz w:val="21"/>
          <w:szCs w:val="21"/>
        </w:rPr>
        <w:t xml:space="preserve">Firmante autenticado: Alfredo Jhovany Alfaro García · frederik1928@gmail.com · IP: 177.231.78.74 (México) · 9:08:41 AM (Pacific Time)</w:t>
      </w:r>
    </w:p>
    <w:p>
      <w:pPr>
        <w:pBdr>
          <w:bottom w:val="thick" w:color="C9A84C" w:sz="8"/>
          <w:left w:val="thick" w:color="C9A84C" w:sz="12"/>
          <w:right w:val="thick" w:color="C9A84C" w:sz="8"/>
        </w:pBdr>
        <w:shd w:fill="F5E6C0" w:val="clear"/>
        <w:spacing w:after="240" w:before="0"/>
        <w:ind w:left="360" w:right="360"/>
      </w:pPr>
      <w:r>
        <w:rPr>
          <w:rFonts w:ascii="Arial" w:cs="Arial" w:eastAsia="Arial" w:hAnsi="Arial"/>
          <w:b w:val="false"/>
          <w:bCs w:val="false"/>
          <w:i w:val="false"/>
          <w:iCs w:val="false"/>
          <w:smallCaps w:val="false"/>
          <w:color w:val="0D1B2A"/>
          <w:sz w:val="21"/>
          <w:szCs w:val="21"/>
        </w:rPr>
        <w:t xml:space="preserve">Este acto cierra criptográficamente el ciclo de vida del reporte técnico de trece páginas y consolida su propiedad intelectual ante la legislación internacional.</w:t>
      </w:r>
    </w:p>
    <w:p>
      <w:pPr>
        <w:spacing w:after="80" w:before="0"/>
      </w:pPr>
      <w:r>
        <w:t xml:space="preserve"/>
      </w:r>
    </w:p>
    <w:p>
      <w:pPr>
        <w:pBdr>
          <w:bottom w:val="single" w:color="C9A84C" w:sz="6" w:space="1"/>
        </w:pBdr>
        <w:spacing w:after="200" w:before="200"/>
      </w:pPr>
      <w:r>
        <w:t xml:space="preserve"/>
      </w:r>
    </w:p>
    <w:p>
      <w:pPr>
        <w:pStyle w:val="Heading1"/>
        <w:pBdr>
          <w:bottom w:val="thick" w:color="C9A84C" w:sz="8" w:space="6"/>
        </w:pBdr>
        <w:spacing w:after="240" w:before="480"/>
      </w:pPr>
      <w:r>
        <w:rPr>
          <w:rFonts w:ascii="Arial" w:cs="Arial" w:eastAsia="Arial" w:hAnsi="Arial"/>
          <w:b/>
          <w:bCs/>
          <w:color w:val="C9A84C"/>
          <w:sz w:val="34"/>
          <w:szCs w:val="34"/>
        </w:rPr>
        <w:t xml:space="preserve">III. ANÁLISIS Y MAPEO DE HOMÓNIMOS TERMINOLÓGICOS</w:t>
      </w:r>
    </w:p>
    <w:p>
      <w:pPr>
        <w:spacing w:after="200" w:before="0" w:line="280"/>
        <w:jc w:val="left"/>
      </w:pPr>
      <w:r>
        <w:rPr>
          <w:rFonts w:ascii="Arial" w:cs="Arial" w:eastAsia="Arial" w:hAnsi="Arial"/>
          <w:b w:val="false"/>
          <w:bCs w:val="false"/>
          <w:i w:val="false"/>
          <w:iCs w:val="false"/>
          <w:smallCaps w:val="false"/>
          <w:color w:val="0A0A0F"/>
          <w:sz w:val="22"/>
          <w:szCs w:val="22"/>
        </w:rPr>
        <w:t xml:space="preserve">El aislamiento preciso de coincidencias de nombres en bases de conocimiento mundiales es esencial para evitar que analizadores de código estático y motores de búsqueda diluyan o confundan la plataforma soberana </w:t>
      </w:r>
      <w:r>
        <w:rPr>
          <w:rFonts w:ascii="Arial" w:cs="Arial" w:eastAsia="Arial" w:hAnsi="Arial"/>
          <w:b/>
          <w:bCs/>
          <w:i w:val="false"/>
          <w:iCs w:val="false"/>
          <w:smallCaps w:val="false"/>
          <w:color w:val="0E4D6C"/>
          <w:sz w:val="22"/>
          <w:szCs w:val="22"/>
        </w:rPr>
        <w:t xml:space="preserve">AOTS⁶-PDC-1</w:t>
      </w:r>
      <w:r>
        <w:rPr>
          <w:rFonts w:ascii="Arial" w:cs="Arial" w:eastAsia="Arial" w:hAnsi="Arial"/>
          <w:b w:val="false"/>
          <w:bCs w:val="false"/>
          <w:i w:val="false"/>
          <w:iCs w:val="false"/>
          <w:smallCaps w:val="false"/>
          <w:color w:val="0A0A0F"/>
          <w:sz w:val="22"/>
          <w:szCs w:val="22"/>
        </w:rPr>
        <w:t xml:space="preserve"> con registros no relacionados. El espectro de exclusión abarca homónimos en medicina clínica, macroeconomía, hardware aeroespacial e ingeniería nuclear.</w:t>
      </w:r>
    </w:p>
    <w:p>
      <w:pPr>
        <w:pStyle w:val="Heading2"/>
        <w:pBdr>
          <w:bottom w:val="single" w:color="1A6B8A" w:sz="4" w:space="4"/>
        </w:pBdr>
        <w:spacing w:after="180" w:before="360"/>
      </w:pPr>
      <w:r>
        <w:rPr>
          <w:rFonts w:ascii="Arial" w:cs="Arial" w:eastAsia="Arial" w:hAnsi="Arial"/>
          <w:b/>
          <w:bCs/>
          <w:color w:val="0E4D6C"/>
          <w:sz w:val="27"/>
          <w:szCs w:val="27"/>
        </w:rPr>
        <w:t xml:space="preserve">3.1 Homónimos Médicos y Biológicos — Exclusión Absoluta</w:t>
      </w:r>
    </w:p>
    <w:p>
      <w:pPr>
        <w:spacing w:after="200" w:before="0" w:line="280"/>
        <w:jc w:val="left"/>
      </w:pPr>
      <w:r>
        <w:rPr>
          <w:rFonts w:ascii="Arial" w:cs="Arial" w:eastAsia="Arial" w:hAnsi="Arial"/>
          <w:b w:val="false"/>
          <w:bCs w:val="false"/>
          <w:i w:val="false"/>
          <w:iCs w:val="false"/>
          <w:smallCaps w:val="false"/>
          <w:color w:val="0A0A0F"/>
          <w:sz w:val="22"/>
          <w:szCs w:val="22"/>
        </w:rPr>
        <w:t xml:space="preserve">En oncología, las siglas AOTS identifican a los </w:t>
      </w:r>
      <w:r>
        <w:rPr>
          <w:rFonts w:ascii="Arial" w:cs="Arial" w:eastAsia="Arial" w:hAnsi="Arial"/>
          <w:b/>
          <w:bCs/>
          <w:i w:val="false"/>
          <w:iCs w:val="false"/>
          <w:smallCaps w:val="false"/>
          <w:color w:val="E63946"/>
          <w:sz w:val="22"/>
          <w:szCs w:val="22"/>
        </w:rPr>
        <w:t xml:space="preserve">tumores oligodendrogliales anaplásicos (Grado III OMS)</w:t>
      </w:r>
      <w:r>
        <w:rPr>
          <w:rFonts w:ascii="Arial" w:cs="Arial" w:eastAsia="Arial" w:hAnsi="Arial"/>
          <w:b w:val="false"/>
          <w:bCs w:val="false"/>
          <w:i w:val="false"/>
          <w:iCs w:val="false"/>
          <w:smallCaps w:val="false"/>
          <w:color w:val="0A0A0F"/>
          <w:sz w:val="22"/>
          <w:szCs w:val="22"/>
        </w:rPr>
        <w:t xml:space="preserve">, definidos por la pérdida de heterocigosidad de los brazos cromosómicos </w:t>
      </w:r>
      <w:r>
        <w:rPr>
          <w:rFonts w:ascii="Arial" w:cs="Arial" w:eastAsia="Arial" w:hAnsi="Arial"/>
          <w:b/>
          <w:bCs/>
          <w:i w:val="false"/>
          <w:iCs w:val="false"/>
          <w:smallCaps w:val="false"/>
          <w:color w:val="E63946"/>
          <w:sz w:val="22"/>
          <w:szCs w:val="22"/>
        </w:rPr>
        <w:t xml:space="preserve">1p/19q</w:t>
      </w:r>
      <w:r>
        <w:rPr>
          <w:rFonts w:ascii="Arial" w:cs="Arial" w:eastAsia="Arial" w:hAnsi="Arial"/>
          <w:b w:val="false"/>
          <w:bCs w:val="false"/>
          <w:i w:val="false"/>
          <w:iCs w:val="false"/>
          <w:smallCaps w:val="false"/>
          <w:color w:val="0A0A0F"/>
          <w:sz w:val="22"/>
          <w:szCs w:val="22"/>
        </w:rPr>
        <w:t xml:space="preserve"> como biomarcador de pronóstico ante quimioterapia. En medicina comunitaria de Oceanía, </w:t>
      </w:r>
      <w:r>
        <w:rPr>
          <w:rFonts w:ascii="Arial" w:cs="Arial" w:eastAsia="Arial" w:hAnsi="Arial"/>
          <w:b/>
          <w:bCs/>
          <w:i w:val="false"/>
          <w:iCs w:val="false"/>
          <w:smallCaps w:val="false"/>
          <w:color w:val="E63946"/>
          <w:sz w:val="22"/>
          <w:szCs w:val="22"/>
        </w:rPr>
        <w:t xml:space="preserve">AOTS 6 (AIS06)</w:t>
      </w:r>
      <w:r>
        <w:rPr>
          <w:rFonts w:ascii="Arial" w:cs="Arial" w:eastAsia="Arial" w:hAnsi="Arial"/>
          <w:b w:val="false"/>
          <w:bCs w:val="false"/>
          <w:i w:val="false"/>
          <w:iCs w:val="false"/>
          <w:smallCaps w:val="false"/>
          <w:color w:val="0A0A0F"/>
          <w:sz w:val="22"/>
          <w:szCs w:val="22"/>
        </w:rPr>
        <w:t xml:space="preserve"> hace referencia a las guías del Servicio de Tratamiento de Opioides de Auckland para dispensación regulada de metadona y buprenorfina. Ninguno de estos campos guarda correlación con criptografía, análisis de caos o interfaces sónicas.</w:t>
      </w:r>
    </w:p>
    <w:p>
      <w:pPr>
        <w:pStyle w:val="Heading2"/>
        <w:pBdr>
          <w:bottom w:val="single" w:color="1A6B8A" w:sz="4" w:space="4"/>
        </w:pBdr>
        <w:spacing w:after="180" w:before="360"/>
      </w:pPr>
      <w:r>
        <w:rPr>
          <w:rFonts w:ascii="Arial" w:cs="Arial" w:eastAsia="Arial" w:hAnsi="Arial"/>
          <w:b/>
          <w:bCs/>
          <w:color w:val="0E4D6C"/>
          <w:sz w:val="27"/>
          <w:szCs w:val="27"/>
        </w:rPr>
        <w:t xml:space="preserve">3.2 Publicaciones Económicas — Exclusión Completa</w:t>
      </w:r>
    </w:p>
    <w:p>
      <w:pPr>
        <w:spacing w:after="200" w:before="0" w:line="280"/>
        <w:jc w:val="left"/>
      </w:pPr>
      <w:r>
        <w:rPr>
          <w:rFonts w:ascii="Arial" w:cs="Arial" w:eastAsia="Arial" w:hAnsi="Arial"/>
          <w:b w:val="false"/>
          <w:bCs w:val="false"/>
          <w:i w:val="false"/>
          <w:iCs w:val="false"/>
          <w:smallCaps w:val="false"/>
          <w:color w:val="0A0A0F"/>
          <w:sz w:val="22"/>
          <w:szCs w:val="22"/>
        </w:rPr>
        <w:t xml:space="preserve">El sexto volumen de la colección </w:t>
      </w:r>
      <w:r>
        <w:rPr>
          <w:rFonts w:ascii="Arial" w:cs="Arial" w:eastAsia="Arial" w:hAnsi="Arial"/>
          <w:b/>
          <w:bCs/>
          <w:i w:val="false"/>
          <w:iCs w:val="false"/>
          <w:smallCaps w:val="false"/>
          <w:color w:val="2C3E50"/>
          <w:sz w:val="22"/>
          <w:szCs w:val="22"/>
        </w:rPr>
        <w:t xml:space="preserve">The Art of the State (AOTS6)</w:t>
      </w:r>
      <w:r>
        <w:rPr>
          <w:rFonts w:ascii="Arial" w:cs="Arial" w:eastAsia="Arial" w:hAnsi="Arial"/>
          <w:b w:val="false"/>
          <w:bCs w:val="false"/>
          <w:i w:val="false"/>
          <w:iCs w:val="false"/>
          <w:smallCaps w:val="false"/>
          <w:color w:val="0A0A0F"/>
          <w:sz w:val="22"/>
          <w:szCs w:val="22"/>
        </w:rPr>
        <w:t xml:space="preserve">, editado en Canadá por Stephen Tapp, Ari Van Assche y Robert Wolfe, con capítulos de Bernard Hoekman y Moroz, aborda la cooperación regulatoria internacional y las barreras no arancelarias en cadenas globales de suministro. Aunque examina soberanía nacional y comercio internacional, </w:t>
      </w:r>
      <w:r>
        <w:rPr>
          <w:rFonts w:ascii="Arial" w:cs="Arial" w:eastAsia="Arial" w:hAnsi="Arial"/>
          <w:b/>
          <w:bCs/>
          <w:i w:val="false"/>
          <w:iCs w:val="false"/>
          <w:smallCaps w:val="false"/>
          <w:color w:val="E63946"/>
          <w:sz w:val="22"/>
          <w:szCs w:val="22"/>
        </w:rPr>
        <w:t xml:space="preserve">no guarda relación alguna con esquemas criptográficos o simulaciones de física teórica.</w:t>
      </w:r>
    </w:p>
    <w:p>
      <w:pPr>
        <w:pStyle w:val="Heading2"/>
        <w:pBdr>
          <w:bottom w:val="single" w:color="1A6B8A" w:sz="4" w:space="4"/>
        </w:pBdr>
        <w:spacing w:after="180" w:before="360"/>
      </w:pPr>
      <w:r>
        <w:rPr>
          <w:rFonts w:ascii="Arial" w:cs="Arial" w:eastAsia="Arial" w:hAnsi="Arial"/>
          <w:b/>
          <w:bCs/>
          <w:color w:val="0E4D6C"/>
          <w:sz w:val="27"/>
          <w:szCs w:val="27"/>
        </w:rPr>
        <w:t xml:space="preserve">3.3 Hardware Aeroespacial y Nuclear PDC-1 — Desambiguación Técnica</w:t>
      </w:r>
    </w:p>
    <w:p>
      <w:pPr>
        <w:spacing w:after="200" w:before="0" w:line="280"/>
        <w:jc w:val="left"/>
      </w:pPr>
      <w:r>
        <w:rPr>
          <w:rFonts w:ascii="Arial" w:cs="Arial" w:eastAsia="Arial" w:hAnsi="Arial"/>
          <w:b w:val="false"/>
          <w:bCs w:val="false"/>
          <w:i w:val="false"/>
          <w:iCs w:val="false"/>
          <w:smallCaps w:val="false"/>
          <w:color w:val="0A0A0F"/>
          <w:sz w:val="22"/>
          <w:szCs w:val="22"/>
        </w:rPr>
        <w:t xml:space="preserve">En literatura aeroespacial de la NASA, </w:t>
      </w:r>
      <w:r>
        <w:rPr>
          <w:rFonts w:ascii="Arial" w:cs="Arial" w:eastAsia="Arial" w:hAnsi="Arial"/>
          <w:b/>
          <w:bCs/>
          <w:i w:val="false"/>
          <w:iCs w:val="false"/>
          <w:smallCaps w:val="false"/>
          <w:color w:val="2C3E50"/>
          <w:sz w:val="22"/>
          <w:szCs w:val="22"/>
        </w:rPr>
        <w:t xml:space="preserve">PDC-1</w:t>
      </w:r>
      <w:r>
        <w:rPr>
          <w:rFonts w:ascii="Arial" w:cs="Arial" w:eastAsia="Arial" w:hAnsi="Arial"/>
          <w:b w:val="false"/>
          <w:bCs w:val="false"/>
          <w:i w:val="false"/>
          <w:iCs w:val="false"/>
          <w:smallCaps w:val="false"/>
          <w:color w:val="0A0A0F"/>
          <w:sz w:val="22"/>
          <w:szCs w:val="22"/>
        </w:rPr>
        <w:t xml:space="preserve"> se refiere a un microprocesador integrado en fotómetros de seguimiento solar automatizado desarrollados en 1987 por Matsumoto, Mina, Russell y Van Ark, desplegados en misiones BOREAS de 1994 en Saskatchewan para medir profundidad óptica de aerosoles. En ingeniería nuclear, PDC-1 representa una </w:t>
      </w:r>
      <w:r>
        <w:rPr>
          <w:rFonts w:ascii="Arial" w:cs="Arial" w:eastAsia="Arial" w:hAnsi="Arial"/>
          <w:b/>
          <w:bCs/>
          <w:i w:val="false"/>
          <w:iCs w:val="false"/>
          <w:smallCaps w:val="false"/>
          <w:color w:val="E63946"/>
          <w:sz w:val="22"/>
          <w:szCs w:val="22"/>
        </w:rPr>
        <w:t xml:space="preserve">variable crítica de disparo para sistemas de parada de emergencia en reactores de agua pesada</w:t>
      </w:r>
      <w:r>
        <w:rPr>
          <w:rFonts w:ascii="Arial" w:cs="Arial" w:eastAsia="Arial" w:hAnsi="Arial"/>
          <w:b w:val="false"/>
          <w:bCs w:val="false"/>
          <w:i w:val="false"/>
          <w:iCs w:val="false"/>
          <w:smallCaps w:val="false"/>
          <w:color w:val="0A0A0F"/>
          <w:sz w:val="22"/>
          <w:szCs w:val="22"/>
        </w:rPr>
        <w:t xml:space="preserve"> bajo estándares USNRC Regulatory Guide 1.174. Ambos usos son incompatibles con el </w:t>
      </w:r>
      <w:r>
        <w:rPr>
          <w:rFonts w:ascii="Arial" w:cs="Arial" w:eastAsia="Arial" w:hAnsi="Arial"/>
          <w:b/>
          <w:bCs/>
          <w:i w:val="false"/>
          <w:iCs w:val="false"/>
          <w:smallCaps w:val="false"/>
          <w:color w:val="0E4D6C"/>
          <w:sz w:val="22"/>
          <w:szCs w:val="22"/>
        </w:rPr>
        <w:t xml:space="preserve">puerto lógico 6606 de la plataforma astronómica sidérea de AOTS⁶.</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2000"/>
      </w:tblGrid>
      <w:tr>
        <w:trPr>
          <w:tblHeader/>
        </w:trPr>
        <w:tc>
          <w:tcPr>
            <w:tcW w:type="dxa" w:w="220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TÉRMINO</w:t>
            </w:r>
          </w:p>
        </w:tc>
        <w:tc>
          <w:tcPr>
            <w:tcW w:type="dxa" w:w="180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DISCIPLINA</w:t>
            </w:r>
          </w:p>
        </w:tc>
        <w:tc>
          <w:tcPr>
            <w:tcW w:type="dxa" w:w="276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NATURALEZA TÉCNICA</w:t>
            </w:r>
          </w:p>
        </w:tc>
        <w:tc>
          <w:tcPr>
            <w:tcW w:type="dxa" w:w="260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ACCIÓN FORENSE</w:t>
            </w:r>
          </w:p>
        </w:tc>
      </w:tr>
      <w:tr>
        <w:tc>
          <w:tcPr>
            <w:tcW w:type="dxa" w:w="22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C9A84C"/>
                <w:sz w:val="19"/>
                <w:szCs w:val="19"/>
              </w:rPr>
              <w:t xml:space="preserve">AOTS⁶-PDC-1</w:t>
            </w:r>
          </w:p>
        </w:tc>
        <w:tc>
          <w:tcPr>
            <w:tcW w:type="dxa" w:w="1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Ciberseguridad &amp; Cálculo Sidéreo</w:t>
            </w:r>
          </w:p>
        </w:tc>
        <w:tc>
          <w:tcPr>
            <w:tcW w:type="dxa" w:w="276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Plataforma cuántico-sónica, atractores de caos, soberanía computacional</w:t>
            </w:r>
          </w:p>
        </w:tc>
        <w:tc>
          <w:tcPr>
            <w:tcW w:type="dxa" w:w="26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C9A84C"/>
                <w:sz w:val="19"/>
                <w:szCs w:val="19"/>
              </w:rPr>
              <w:t xml:space="preserve">SUJETO EXCLUSIVO de estudio</w:t>
            </w:r>
          </w:p>
        </w:tc>
      </w:tr>
      <w:tr>
        <w:tc>
          <w:tcPr>
            <w:tcW w:type="dxa" w:w="22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E63946"/>
                <w:sz w:val="19"/>
                <w:szCs w:val="19"/>
              </w:rPr>
              <w:t xml:space="preserve">AOTS (Oligodendrogliomas)</w:t>
            </w:r>
          </w:p>
        </w:tc>
        <w:tc>
          <w:tcPr>
            <w:tcW w:type="dxa" w:w="18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Oncología / OMS</w:t>
            </w:r>
          </w:p>
        </w:tc>
        <w:tc>
          <w:tcPr>
            <w:tcW w:type="dxa" w:w="276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Datos genómicos de tumores Grado III con codeleción 1p/19q</w:t>
            </w:r>
          </w:p>
        </w:tc>
        <w:tc>
          <w:tcPr>
            <w:tcW w:type="dxa" w:w="26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E63946"/>
                <w:sz w:val="19"/>
                <w:szCs w:val="19"/>
              </w:rPr>
              <w:t xml:space="preserve">EXCLUSIÓN ABSOLUTA</w:t>
            </w:r>
          </w:p>
        </w:tc>
      </w:tr>
      <w:tr>
        <w:tc>
          <w:tcPr>
            <w:tcW w:type="dxa" w:w="22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E63946"/>
                <w:sz w:val="19"/>
                <w:szCs w:val="19"/>
              </w:rPr>
              <w:t xml:space="preserve">AOTS 6 / AIS06</w:t>
            </w:r>
          </w:p>
        </w:tc>
        <w:tc>
          <w:tcPr>
            <w:tcW w:type="dxa" w:w="1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Farmacología / Auckland</w:t>
            </w:r>
          </w:p>
        </w:tc>
        <w:tc>
          <w:tcPr>
            <w:tcW w:type="dxa" w:w="276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Guías de dosificación de metadona y buprenorfina</w:t>
            </w:r>
          </w:p>
        </w:tc>
        <w:tc>
          <w:tcPr>
            <w:tcW w:type="dxa" w:w="26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E63946"/>
                <w:sz w:val="19"/>
                <w:szCs w:val="19"/>
              </w:rPr>
              <w:t xml:space="preserve">EXCLUSIÓN ABSOLUTA</w:t>
            </w:r>
          </w:p>
        </w:tc>
      </w:tr>
      <w:tr>
        <w:tc>
          <w:tcPr>
            <w:tcW w:type="dxa" w:w="22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E63946"/>
                <w:sz w:val="19"/>
                <w:szCs w:val="19"/>
              </w:rPr>
              <w:t xml:space="preserve">AOTS6 Volume 6 (IRPP)</w:t>
            </w:r>
          </w:p>
        </w:tc>
        <w:tc>
          <w:tcPr>
            <w:tcW w:type="dxa" w:w="18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Macroeconomía / Canadá</w:t>
            </w:r>
          </w:p>
        </w:tc>
        <w:tc>
          <w:tcPr>
            <w:tcW w:type="dxa" w:w="276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Rediseño de políticas comerciales canadienses — Hoekman, Tapp, Wolfe</w:t>
            </w:r>
          </w:p>
        </w:tc>
        <w:tc>
          <w:tcPr>
            <w:tcW w:type="dxa" w:w="26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E63946"/>
                <w:sz w:val="19"/>
                <w:szCs w:val="19"/>
              </w:rPr>
              <w:t xml:space="preserve">EXCLUSIÓN ABSOLUTA</w:t>
            </w:r>
          </w:p>
        </w:tc>
      </w:tr>
      <w:tr>
        <w:tc>
          <w:tcPr>
            <w:tcW w:type="dxa" w:w="22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A0A0F"/>
                <w:sz w:val="19"/>
                <w:szCs w:val="19"/>
              </w:rPr>
              <w:t xml:space="preserve">Lapwing AOTs</w:t>
            </w:r>
          </w:p>
        </w:tc>
        <w:tc>
          <w:tcPr>
            <w:tcW w:type="dxa" w:w="1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Ornitología / Ecología</w:t>
            </w:r>
          </w:p>
        </w:tc>
        <w:tc>
          <w:tcPr>
            <w:tcW w:type="dxa" w:w="276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Censo de territorios ocupados de aves Vanellus vanellus</w:t>
            </w:r>
          </w:p>
        </w:tc>
        <w:tc>
          <w:tcPr>
            <w:tcW w:type="dxa" w:w="26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E63946"/>
                <w:sz w:val="19"/>
                <w:szCs w:val="19"/>
              </w:rPr>
              <w:t xml:space="preserve">EXCLUSIÓN ABSOLUTA</w:t>
            </w:r>
          </w:p>
        </w:tc>
      </w:tr>
      <w:tr>
        <w:tc>
          <w:tcPr>
            <w:tcW w:type="dxa" w:w="22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A0A0F"/>
                <w:sz w:val="19"/>
                <w:szCs w:val="19"/>
              </w:rPr>
              <w:t xml:space="preserve">PDC-1 Photometer (NASA)</w:t>
            </w:r>
          </w:p>
        </w:tc>
        <w:tc>
          <w:tcPr>
            <w:tcW w:type="dxa" w:w="18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Aeroespacial / BOREAS</w:t>
            </w:r>
          </w:p>
        </w:tc>
        <w:tc>
          <w:tcPr>
            <w:tcW w:type="dxa" w:w="276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Microprocesador de fotómetro solar automatizado — Saskatchewan 1994</w:t>
            </w:r>
          </w:p>
        </w:tc>
        <w:tc>
          <w:tcPr>
            <w:tcW w:type="dxa" w:w="26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2C3E50"/>
                <w:sz w:val="19"/>
                <w:szCs w:val="19"/>
              </w:rPr>
              <w:t xml:space="preserve">EXCLUSIÓN POR FIRMA</w:t>
            </w:r>
          </w:p>
        </w:tc>
      </w:tr>
      <w:tr>
        <w:tc>
          <w:tcPr>
            <w:tcW w:type="dxa" w:w="22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A0A0F"/>
                <w:sz w:val="19"/>
                <w:szCs w:val="19"/>
              </w:rPr>
              <w:t xml:space="preserve">PDC-1 Nuclear Trip (USNRC)</w:t>
            </w:r>
          </w:p>
        </w:tc>
        <w:tc>
          <w:tcPr>
            <w:tcW w:type="dxa" w:w="1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Ingeniería Nuclear</w:t>
            </w:r>
          </w:p>
        </w:tc>
        <w:tc>
          <w:tcPr>
            <w:tcW w:type="dxa" w:w="276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Variable de disparo en sistema de parada de reactores de agua pesada</w:t>
            </w:r>
          </w:p>
        </w:tc>
        <w:tc>
          <w:tcPr>
            <w:tcW w:type="dxa" w:w="26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2C3E50"/>
                <w:sz w:val="19"/>
                <w:szCs w:val="19"/>
              </w:rPr>
              <w:t xml:space="preserve">EXCLUSIÓN POR FIRMA</w:t>
            </w:r>
          </w:p>
        </w:tc>
      </w:tr>
    </w:tbl>
    <w:p>
      <w:pPr>
        <w:spacing w:after="80" w:before="0"/>
      </w:pPr>
      <w:r>
        <w:t xml:space="preserve"/>
      </w:r>
    </w:p>
    <w:p>
      <w:pPr>
        <w:pBdr>
          <w:bottom w:val="single" w:color="0E4D6C" w:sz="6" w:space="1"/>
        </w:pBdr>
        <w:spacing w:after="200" w:before="200"/>
      </w:pPr>
      <w:r>
        <w:t xml:space="preserve"/>
      </w:r>
    </w:p>
    <w:p>
      <w:pPr>
        <w:pStyle w:val="Heading1"/>
        <w:pBdr>
          <w:bottom w:val="thick" w:color="C9A84C" w:sz="8" w:space="6"/>
        </w:pBdr>
        <w:spacing w:after="240" w:before="480"/>
      </w:pPr>
      <w:r>
        <w:rPr>
          <w:rFonts w:ascii="Arial" w:cs="Arial" w:eastAsia="Arial" w:hAnsi="Arial"/>
          <w:b/>
          <w:bCs/>
          <w:color w:val="C9A84C"/>
          <w:sz w:val="34"/>
          <w:szCs w:val="34"/>
        </w:rPr>
        <w:t xml:space="preserve">IV. DETECCIÓN Y ANTICIPACIÓN DE CAMPAÑAS DE PLAGIO</w:t>
      </w:r>
    </w:p>
    <w:p>
      <w:pPr>
        <w:pBdr>
          <w:top w:val="single" w:color="0E4D6C" w:sz="4"/>
          <w:bottom w:val="single" w:color="0E4D6C" w:sz="4"/>
          <w:left w:val="thick" w:color="0E4D6C" w:sz="14"/>
          <w:right w:val="single" w:color="0E4D6C" w:sz="4"/>
        </w:pBdr>
        <w:shd w:fill="D6EAF8" w:val="clear"/>
        <w:spacing w:after="0" w:before="200"/>
        <w:ind w:left="360" w:right="360"/>
      </w:pPr>
      <w:r>
        <w:rPr>
          <w:rFonts w:ascii="Arial" w:cs="Arial" w:eastAsia="Arial" w:hAnsi="Arial"/>
          <w:b/>
          <w:bCs/>
          <w:i w:val="false"/>
          <w:iCs w:val="false"/>
          <w:smallCaps w:val="false"/>
          <w:color w:val="E63946"/>
          <w:sz w:val="22"/>
          <w:szCs w:val="22"/>
        </w:rPr>
        <w:t xml:space="preserve">ACTOR DE AMENAZA IDENTIFICADO</w:t>
      </w:r>
    </w:p>
    <w:p>
      <w:pPr>
        <w:pBdr>
          <w:left w:val="thick" w:color="0E4D6C" w:sz="14"/>
          <w:right w:val="single" w:color="0E4D6C" w:sz="4"/>
        </w:pBdr>
        <w:shd w:fill="D6EAF8" w:val="clear"/>
        <w:spacing w:after="0" w:before="0"/>
        <w:ind w:left="360" w:right="360"/>
      </w:pPr>
      <w:r>
        <w:rPr>
          <w:rFonts w:ascii="Arial" w:cs="Arial" w:eastAsia="Arial" w:hAnsi="Arial"/>
          <w:b w:val="false"/>
          <w:bCs w:val="false"/>
          <w:i w:val="false"/>
          <w:iCs w:val="false"/>
          <w:smallCaps w:val="false"/>
          <w:color w:val="0A0A0F"/>
          <w:sz w:val="21"/>
          <w:szCs w:val="21"/>
        </w:rPr>
        <w:t xml:space="preserve">Forrest M. Anderson · ORCID: 0009-0007-8818-253X · Cottage Grove, Minnesota, EE.UU.</w:t>
      </w:r>
    </w:p>
    <w:p>
      <w:pPr>
        <w:pBdr>
          <w:left w:val="thick" w:color="0E4D6C" w:sz="14"/>
          <w:right w:val="single" w:color="0E4D6C" w:sz="4"/>
        </w:pBdr>
        <w:shd w:fill="D6EAF8" w:val="clear"/>
        <w:spacing w:after="0" w:before="0"/>
        <w:ind w:left="360" w:right="360"/>
      </w:pPr>
      <w:r>
        <w:rPr>
          <w:rFonts w:ascii="Arial" w:cs="Arial" w:eastAsia="Arial" w:hAnsi="Arial"/>
          <w:b w:val="false"/>
          <w:bCs w:val="false"/>
          <w:i w:val="false"/>
          <w:iCs w:val="false"/>
          <w:smallCaps w:val="false"/>
          <w:color w:val="0A0A0F"/>
          <w:sz w:val="21"/>
          <w:szCs w:val="21"/>
        </w:rPr>
        <w:t xml:space="preserve">Abogado e investigador que opera en Zenodo bajo el alias ForrestAnderson2000@yahoo.com para publicar documentos que replican la arquitectura y terminología de Alfaro García.</w:t>
      </w:r>
    </w:p>
    <w:p>
      <w:pPr>
        <w:pBdr>
          <w:bottom w:val="single" w:color="0E4D6C" w:sz="4"/>
          <w:left w:val="thick" w:color="0E4D6C" w:sz="14"/>
          <w:right w:val="single" w:color="0E4D6C" w:sz="4"/>
        </w:pBdr>
        <w:shd w:fill="D6EAF8" w:val="clear"/>
        <w:spacing w:after="200" w:before="0"/>
        <w:ind w:left="360" w:right="360"/>
      </w:pPr>
      <w:r>
        <w:rPr>
          <w:rFonts w:ascii="Arial" w:cs="Arial" w:eastAsia="Arial" w:hAnsi="Arial"/>
          <w:b/>
          <w:bCs/>
          <w:i w:val="false"/>
          <w:iCs w:val="false"/>
          <w:smallCaps w:val="false"/>
          <w:color w:val="0D1B2A"/>
          <w:sz w:val="21"/>
          <w:szCs w:val="21"/>
        </w:rPr>
        <w:t xml:space="preserve">Referencia forense global: Case #564883754 — Forensic Record: Reconstruction of IP Exfiltration — DNA-Lang Quantum Ecosystem</w:t>
      </w:r>
    </w:p>
    <w:p>
      <w:pPr>
        <w:spacing w:after="80" w:before="0"/>
      </w:pPr>
      <w:r>
        <w:t xml:space="preserve"/>
      </w:r>
    </w:p>
    <w:p>
      <w:pPr>
        <w:pStyle w:val="Heading2"/>
        <w:pBdr>
          <w:bottom w:val="single" w:color="1A6B8A" w:sz="4" w:space="4"/>
        </w:pBdr>
        <w:spacing w:after="180" w:before="360"/>
      </w:pPr>
      <w:r>
        <w:rPr>
          <w:rFonts w:ascii="Arial" w:cs="Arial" w:eastAsia="Arial" w:hAnsi="Arial"/>
          <w:b/>
          <w:bCs/>
          <w:color w:val="0E4D6C"/>
          <w:sz w:val="27"/>
          <w:szCs w:val="27"/>
        </w:rPr>
        <w:t xml:space="preserve">4.1 Patrón Sistemático de Exfiltración y Colisión Terminológica</w:t>
      </w:r>
    </w:p>
    <w:p>
      <w:pPr>
        <w:spacing w:after="200" w:before="0" w:line="280"/>
        <w:jc w:val="left"/>
      </w:pPr>
      <w:r>
        <w:rPr>
          <w:rFonts w:ascii="Arial" w:cs="Arial" w:eastAsia="Arial" w:hAnsi="Arial"/>
          <w:b w:val="false"/>
          <w:bCs w:val="false"/>
          <w:i w:val="false"/>
          <w:iCs w:val="false"/>
          <w:smallCaps w:val="false"/>
          <w:color w:val="0A0A0F"/>
          <w:sz w:val="22"/>
          <w:szCs w:val="22"/>
        </w:rPr>
        <w:t xml:space="preserve">El análisis cronológico forense demuestra que las publicaciones de Anderson son </w:t>
      </w:r>
      <w:r>
        <w:rPr>
          <w:rFonts w:ascii="Arial" w:cs="Arial" w:eastAsia="Arial" w:hAnsi="Arial"/>
          <w:b/>
          <w:bCs/>
          <w:i w:val="false"/>
          <w:iCs w:val="false"/>
          <w:smallCaps w:val="false"/>
          <w:color w:val="E63946"/>
          <w:sz w:val="22"/>
          <w:szCs w:val="22"/>
        </w:rPr>
        <w:t xml:space="preserve">posteriores por casi un año</w:t>
      </w:r>
      <w:r>
        <w:rPr>
          <w:rFonts w:ascii="Arial" w:cs="Arial" w:eastAsia="Arial" w:hAnsi="Arial"/>
          <w:b w:val="false"/>
          <w:bCs w:val="false"/>
          <w:i w:val="false"/>
          <w:iCs w:val="false"/>
          <w:smallCaps w:val="false"/>
          <w:color w:val="0A0A0F"/>
          <w:sz w:val="22"/>
          <w:szCs w:val="22"/>
        </w:rPr>
        <w:t xml:space="preserve"> a la liberación pública de la tesis y repositorios de Alfaro García en marzo de 2025. La campaña de superposición de autoría se realizó mediante el archivo masivo y no revisado de documentos en Zenodo, introduciendo terminología sintética como el </w:t>
      </w:r>
      <w:r>
        <w:rPr>
          <w:rFonts w:ascii="Arial" w:cs="Arial" w:eastAsia="Arial" w:hAnsi="Arial"/>
          <w:b/>
          <w:bCs/>
          <w:i w:val="false"/>
          <w:iCs w:val="false"/>
          <w:smallCaps w:val="false"/>
          <w:color w:val="2C3E50"/>
          <w:sz w:val="22"/>
          <w:szCs w:val="22"/>
        </w:rPr>
        <w:t xml:space="preserve">Anderson Operator Framework (AOF)</w:t>
      </w:r>
      <w:r>
        <w:rPr>
          <w:rFonts w:ascii="Arial" w:cs="Arial" w:eastAsia="Arial" w:hAnsi="Arial"/>
          <w:b w:val="false"/>
          <w:bCs w:val="false"/>
          <w:i w:val="false"/>
          <w:iCs w:val="false"/>
          <w:smallCaps w:val="false"/>
          <w:color w:val="0A0A0F"/>
          <w:sz w:val="22"/>
          <w:szCs w:val="22"/>
        </w:rPr>
        <w:t xml:space="preserve"> y el </w:t>
      </w:r>
      <w:r>
        <w:rPr>
          <w:rFonts w:ascii="Arial" w:cs="Arial" w:eastAsia="Arial" w:hAnsi="Arial"/>
          <w:b/>
          <w:bCs/>
          <w:i w:val="false"/>
          <w:iCs w:val="false"/>
          <w:smallCaps w:val="false"/>
          <w:color w:val="2C3E50"/>
          <w:sz w:val="22"/>
          <w:szCs w:val="22"/>
        </w:rPr>
        <w:t xml:space="preserve">Emergency Logic Core (ELC)</w:t>
      </w:r>
      <w:r>
        <w:rPr>
          <w:rFonts w:ascii="Arial" w:cs="Arial" w:eastAsia="Arial" w:hAnsi="Arial"/>
          <w:b w:val="false"/>
          <w:bCs w:val="false"/>
          <w:i w:val="false"/>
          <w:iCs w:val="false"/>
          <w:smallCaps w:val="false"/>
          <w:color w:val="0A0A0F"/>
          <w:sz w:val="22"/>
          <w:szCs w:val="22"/>
        </w:rPr>
        <w:t xml:space="preserve"> que simulan las mismas funciones de resiliencia no lineal y aislamiento lógico de AOTS⁶.</w:t>
      </w:r>
    </w:p>
    <w:p>
      <w:pPr>
        <w:pStyle w:val="Heading2"/>
        <w:pBdr>
          <w:bottom w:val="single" w:color="1A6B8A" w:sz="4" w:space="4"/>
        </w:pBdr>
        <w:spacing w:after="180" w:before="360"/>
      </w:pPr>
      <w:r>
        <w:rPr>
          <w:rFonts w:ascii="Arial" w:cs="Arial" w:eastAsia="Arial" w:hAnsi="Arial"/>
          <w:b/>
          <w:bCs/>
          <w:color w:val="0E4D6C"/>
          <w:sz w:val="27"/>
          <w:szCs w:val="27"/>
        </w:rPr>
        <w:t xml:space="preserve">4.2 Cronología de Publicaciones de Plagio — Zenodo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2760"/>
        <w:gridCol w:w="1800"/>
        <w:gridCol w:w="1680"/>
      </w:tblGrid>
      <w:tr>
        <w:trPr>
          <w:tblHeader/>
        </w:trPr>
        <w:tc>
          <w:tcPr>
            <w:tcW w:type="dxa" w:w="1440"/>
            <w:gridSpan w:val="1"/>
            <w:tcBorders>
              <w:top w:val="single" w:color="E63946" w:sz="4"/>
              <w:left w:val="single" w:color="E63946" w:sz="4"/>
              <w:bottom w:val="single" w:color="E63946" w:sz="4"/>
              <w:right w:val="single" w:color="E63946" w:sz="4"/>
            </w:tcBorders>
            <w:shd w:fill="E63946"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FECHA</w:t>
            </w:r>
          </w:p>
        </w:tc>
        <w:tc>
          <w:tcPr>
            <w:tcW w:type="dxa" w:w="1680"/>
            <w:gridSpan w:val="1"/>
            <w:tcBorders>
              <w:top w:val="single" w:color="E63946" w:sz="4"/>
              <w:left w:val="single" w:color="E63946" w:sz="4"/>
              <w:bottom w:val="single" w:color="E63946" w:sz="4"/>
              <w:right w:val="single" w:color="E63946" w:sz="4"/>
            </w:tcBorders>
            <w:shd w:fill="E63946"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DOI</w:t>
            </w:r>
          </w:p>
        </w:tc>
        <w:tc>
          <w:tcPr>
            <w:tcW w:type="dxa" w:w="2760"/>
            <w:gridSpan w:val="1"/>
            <w:tcBorders>
              <w:top w:val="single" w:color="E63946" w:sz="4"/>
              <w:left w:val="single" w:color="E63946" w:sz="4"/>
              <w:bottom w:val="single" w:color="E63946" w:sz="4"/>
              <w:right w:val="single" w:color="E63946" w:sz="4"/>
            </w:tcBorders>
            <w:shd w:fill="E63946"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TÍTULO DEPOSITADO</w:t>
            </w:r>
          </w:p>
        </w:tc>
        <w:tc>
          <w:tcPr>
            <w:tcW w:type="dxa" w:w="1800"/>
            <w:gridSpan w:val="1"/>
            <w:tcBorders>
              <w:top w:val="single" w:color="E63946" w:sz="4"/>
              <w:left w:val="single" w:color="E63946" w:sz="4"/>
              <w:bottom w:val="single" w:color="E63946" w:sz="4"/>
              <w:right w:val="single" w:color="E63946" w:sz="4"/>
            </w:tcBorders>
            <w:shd w:fill="E63946"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TERMINOLOGÍA CLONADA</w:t>
            </w:r>
          </w:p>
        </w:tc>
        <w:tc>
          <w:tcPr>
            <w:tcW w:type="dxa" w:w="1680"/>
            <w:gridSpan w:val="1"/>
            <w:tcBorders>
              <w:top w:val="single" w:color="E63946" w:sz="4"/>
              <w:left w:val="single" w:color="E63946" w:sz="4"/>
              <w:bottom w:val="single" w:color="E63946" w:sz="4"/>
              <w:right w:val="single" w:color="E63946" w:sz="4"/>
            </w:tcBorders>
            <w:shd w:fill="E63946"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RELACIÓN CON ROBO</w:t>
            </w:r>
          </w:p>
        </w:tc>
      </w:tr>
      <w:tr>
        <w:tc>
          <w:tcPr>
            <w:tcW w:type="dxa" w:w="144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A0A0F"/>
                <w:sz w:val="19"/>
                <w:szCs w:val="19"/>
              </w:rPr>
              <w:t xml:space="preserve">2 feb 2026</w:t>
            </w:r>
          </w:p>
        </w:tc>
        <w:tc>
          <w:tcPr>
            <w:tcW w:type="dxa" w:w="168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E4D6C"/>
                <w:sz w:val="19"/>
                <w:szCs w:val="19"/>
              </w:rPr>
              <w:t xml:space="preserve">10.5281/ZENODO</w:t>
            </w:r>
          </w:p>
        </w:tc>
        <w:tc>
          <w:tcPr>
            <w:tcW w:type="dxa" w:w="276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The Sovereign Identity — A Recursive Theory of Everything via 6D Toroidal Fixed-Point Stability</w:t>
            </w:r>
          </w:p>
        </w:tc>
        <w:tc>
          <w:tcPr>
            <w:tcW w:type="dxa" w:w="1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E63946"/>
                <w:sz w:val="19"/>
                <w:szCs w:val="19"/>
              </w:rPr>
              <w:t xml:space="preserve">Identidad Soberana, Variedades Toroidales 6D</w:t>
            </w:r>
          </w:p>
        </w:tc>
        <w:tc>
          <w:tcPr>
            <w:tcW w:type="dxa" w:w="168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Suplantación directa de la tesis ontológica toroidal de Alfaro García</w:t>
            </w:r>
          </w:p>
        </w:tc>
      </w:tr>
      <w:tr>
        <w:tc>
          <w:tcPr>
            <w:tcW w:type="dxa" w:w="144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A0A0F"/>
                <w:sz w:val="19"/>
                <w:szCs w:val="19"/>
              </w:rPr>
              <w:t xml:space="preserve">26 mar 2026</w:t>
            </w:r>
          </w:p>
        </w:tc>
        <w:tc>
          <w:tcPr>
            <w:tcW w:type="dxa" w:w="168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E4D6C"/>
                <w:sz w:val="19"/>
                <w:szCs w:val="19"/>
              </w:rPr>
              <w:t xml:space="preserve">10.5281/zenodo</w:t>
            </w:r>
          </w:p>
        </w:tc>
        <w:tc>
          <w:tcPr>
            <w:tcW w:type="dxa" w:w="276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Beilinson's Conjecture Resolution — (ARK) Agnostic Replication Kit</w:t>
            </w:r>
          </w:p>
        </w:tc>
        <w:tc>
          <w:tcPr>
            <w:tcW w:type="dxa" w:w="18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E63946"/>
                <w:sz w:val="19"/>
                <w:szCs w:val="19"/>
              </w:rPr>
              <w:t xml:space="preserve">Manifold HW 6D, Sincronización a 1.42 GHz, Reguladores de Beilinson</w:t>
            </w:r>
          </w:p>
        </w:tc>
        <w:tc>
          <w:tcPr>
            <w:tcW w:type="dxa" w:w="168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Clonación de la lógica de resolución automatizada del nodo PDC-1</w:t>
            </w:r>
          </w:p>
        </w:tc>
      </w:tr>
      <w:tr>
        <w:tc>
          <w:tcPr>
            <w:tcW w:type="dxa" w:w="144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A0A0F"/>
                <w:sz w:val="19"/>
                <w:szCs w:val="19"/>
              </w:rPr>
              <w:t xml:space="preserve">29 abr 2026</w:t>
            </w:r>
          </w:p>
        </w:tc>
        <w:tc>
          <w:tcPr>
            <w:tcW w:type="dxa" w:w="168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E4D6C"/>
                <w:sz w:val="19"/>
                <w:szCs w:val="19"/>
              </w:rPr>
              <w:t xml:space="preserve">10.5281/zenodo</w:t>
            </w:r>
          </w:p>
        </w:tc>
        <w:tc>
          <w:tcPr>
            <w:tcW w:type="dxa" w:w="276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Resolution of the Yang–Mills Existence and Mass Gap Conjecture — ARK</w:t>
            </w:r>
          </w:p>
        </w:tc>
        <w:tc>
          <w:tcPr>
            <w:tcW w:type="dxa" w:w="1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E63946"/>
                <w:sz w:val="19"/>
                <w:szCs w:val="19"/>
              </w:rPr>
              <w:t xml:space="preserve">Regularización de Flujo Geométrico, Positividad de Reflexión</w:t>
            </w:r>
          </w:p>
        </w:tc>
        <w:tc>
          <w:tcPr>
            <w:tcW w:type="dxa" w:w="168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Apropiación del hito científico de solución de Problemas del Milenio del 21 marzo 2025</w:t>
            </w:r>
          </w:p>
        </w:tc>
      </w:tr>
      <w:tr>
        <w:tc>
          <w:tcPr>
            <w:tcW w:type="dxa" w:w="144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A0A0F"/>
                <w:sz w:val="19"/>
                <w:szCs w:val="19"/>
              </w:rPr>
              <w:t xml:space="preserve">30 abr 2026</w:t>
            </w:r>
          </w:p>
        </w:tc>
        <w:tc>
          <w:tcPr>
            <w:tcW w:type="dxa" w:w="168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E4D6C"/>
                <w:sz w:val="19"/>
                <w:szCs w:val="19"/>
              </w:rPr>
              <w:t xml:space="preserve">10.5281/zenodo</w:t>
            </w:r>
          </w:p>
        </w:tc>
        <w:tc>
          <w:tcPr>
            <w:tcW w:type="dxa" w:w="276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Resolution of the Zimmer Conjecture — SAC-02 Simulation Data</w:t>
            </w:r>
          </w:p>
        </w:tc>
        <w:tc>
          <w:tcPr>
            <w:tcW w:type="dxa" w:w="18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E63946"/>
                <w:sz w:val="19"/>
                <w:szCs w:val="19"/>
              </w:rPr>
              <w:t xml:space="preserve">Rigidez Espectral, Jacobiano J=1, Tolerancia 1.0×10⁻¹²</w:t>
            </w:r>
          </w:p>
        </w:tc>
        <w:tc>
          <w:tcPr>
            <w:tcW w:type="dxa" w:w="168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Copia del uso del toroide matemático para modelar rigidez dinámica e invariancia volumétrica</w:t>
            </w:r>
          </w:p>
        </w:tc>
      </w:tr>
    </w:tbl>
    <w:p>
      <w:pPr>
        <w:spacing w:after="80" w:before="0"/>
      </w:pPr>
      <w:r>
        <w:t xml:space="preserve"/>
      </w:r>
    </w:p>
    <w:p>
      <w:pPr>
        <w:pBdr>
          <w:bottom w:val="single" w:color="E63946" w:sz="6" w:space="1"/>
        </w:pBdr>
        <w:spacing w:after="200" w:before="200"/>
      </w:pPr>
      <w:r>
        <w:t xml:space="preserve"/>
      </w:r>
    </w:p>
    <w:p>
      <w:pPr>
        <w:pStyle w:val="Heading1"/>
        <w:pBdr>
          <w:bottom w:val="thick" w:color="C9A84C" w:sz="8" w:space="6"/>
        </w:pBdr>
        <w:spacing w:after="240" w:before="480"/>
      </w:pPr>
      <w:r>
        <w:rPr>
          <w:rFonts w:ascii="Arial" w:cs="Arial" w:eastAsia="Arial" w:hAnsi="Arial"/>
          <w:b/>
          <w:bCs/>
          <w:color w:val="C9A84C"/>
          <w:sz w:val="34"/>
          <w:szCs w:val="34"/>
        </w:rPr>
        <w:t xml:space="preserve">V. MECANISMOS DE SELLO DE TIEMPO Y DEFENSA PREVENTIVA</w:t>
      </w:r>
    </w:p>
    <w:p>
      <w:pPr>
        <w:spacing w:after="200" w:before="0" w:line="280"/>
        <w:jc w:val="left"/>
      </w:pPr>
      <w:r>
        <w:rPr>
          <w:rFonts w:ascii="Arial" w:cs="Arial" w:eastAsia="Arial" w:hAnsi="Arial"/>
          <w:b w:val="false"/>
          <w:bCs w:val="false"/>
          <w:i w:val="false"/>
          <w:iCs w:val="false"/>
          <w:smallCaps w:val="false"/>
          <w:color w:val="0A0A0F"/>
          <w:sz w:val="22"/>
          <w:szCs w:val="22"/>
        </w:rPr>
        <w:t xml:space="preserve">Para anticipar y neutralizar campañas sofisticadas de plagio científico que utilicen la falsificación de metadatos de archivos, la plataforma AOTS⁶ ha adoptado una </w:t>
      </w:r>
      <w:r>
        <w:rPr>
          <w:rFonts w:ascii="Arial" w:cs="Arial" w:eastAsia="Arial" w:hAnsi="Arial"/>
          <w:b/>
          <w:bCs/>
          <w:i w:val="false"/>
          <w:iCs w:val="false"/>
          <w:smallCaps w:val="false"/>
          <w:color w:val="C9A84C"/>
          <w:sz w:val="22"/>
          <w:szCs w:val="22"/>
        </w:rPr>
        <w:t xml:space="preserve">estrategia de defensa criptográfica de tercera generación</w:t>
      </w:r>
      <w:r>
        <w:rPr>
          <w:rFonts w:ascii="Arial" w:cs="Arial" w:eastAsia="Arial" w:hAnsi="Arial"/>
          <w:b w:val="false"/>
          <w:bCs w:val="false"/>
          <w:i w:val="false"/>
          <w:iCs w:val="false"/>
          <w:smallCaps w:val="false"/>
          <w:color w:val="0A0A0F"/>
          <w:sz w:val="22"/>
          <w:szCs w:val="22"/>
        </w:rPr>
        <w:t xml:space="preserve"> basada en la inmutabilidad absoluta de la tecnología de contabilidad distribuida.</w:t>
      </w:r>
    </w:p>
    <w:p>
      <w:pPr>
        <w:pStyle w:val="Heading2"/>
        <w:pBdr>
          <w:bottom w:val="single" w:color="1A6B8A" w:sz="4" w:space="4"/>
        </w:pBdr>
        <w:spacing w:after="180" w:before="360"/>
      </w:pPr>
      <w:r>
        <w:rPr>
          <w:rFonts w:ascii="Arial" w:cs="Arial" w:eastAsia="Arial" w:hAnsi="Arial"/>
          <w:b/>
          <w:bCs/>
          <w:color w:val="0E4D6C"/>
          <w:sz w:val="27"/>
          <w:szCs w:val="27"/>
        </w:rPr>
        <w:t xml:space="preserve">5.1 Protocolo OpenTimestamps (OTS) — Fundamento Termodinámico</w:t>
      </w:r>
    </w:p>
    <w:p>
      <w:pPr>
        <w:spacing w:after="200" w:before="0" w:line="280"/>
        <w:jc w:val="left"/>
      </w:pPr>
      <w:r>
        <w:rPr>
          <w:rFonts w:ascii="Arial" w:cs="Arial" w:eastAsia="Arial" w:hAnsi="Arial"/>
          <w:b w:val="false"/>
          <w:bCs w:val="false"/>
          <w:i w:val="false"/>
          <w:iCs w:val="false"/>
          <w:smallCaps w:val="false"/>
          <w:color w:val="0A0A0F"/>
          <w:sz w:val="22"/>
          <w:szCs w:val="22"/>
        </w:rPr>
        <w:t xml:space="preserve">La inmutabilidad del sellado de tiempo mediante OTS se fundamenta en principios termodinámicos y en la potencia de cómputo de la red </w:t>
      </w:r>
      <w:r>
        <w:rPr>
          <w:rFonts w:ascii="Arial" w:cs="Arial" w:eastAsia="Arial" w:hAnsi="Arial"/>
          <w:b/>
          <w:bCs/>
          <w:i w:val="false"/>
          <w:iCs w:val="false"/>
          <w:smallCaps w:val="false"/>
          <w:color w:val="0E4D6C"/>
          <w:sz w:val="22"/>
          <w:szCs w:val="22"/>
        </w:rPr>
        <w:t xml:space="preserve">Bitcoin Core</w:t>
      </w:r>
      <w:r>
        <w:rPr>
          <w:rFonts w:ascii="Arial" w:cs="Arial" w:eastAsia="Arial" w:hAnsi="Arial"/>
          <w:b w:val="false"/>
          <w:bCs w:val="false"/>
          <w:i w:val="false"/>
          <w:iCs w:val="false"/>
          <w:smallCaps w:val="false"/>
          <w:color w:val="0A0A0F"/>
          <w:sz w:val="22"/>
          <w:szCs w:val="22"/>
        </w:rPr>
        <w:t xml:space="preserve">. El hash SHA-256 de un documento AOTS⁶ se integra junto con miles de solicitudes paralelas en un </w:t>
      </w:r>
      <w:r>
        <w:rPr>
          <w:rFonts w:ascii="Arial" w:cs="Arial" w:eastAsia="Arial" w:hAnsi="Arial"/>
          <w:b/>
          <w:bCs/>
          <w:i w:val="false"/>
          <w:iCs w:val="false"/>
          <w:smallCaps w:val="false"/>
          <w:color w:val="0D1B2A"/>
          <w:sz w:val="22"/>
          <w:szCs w:val="22"/>
        </w:rPr>
        <w:t xml:space="preserve">Árbol de Merkle</w:t>
      </w:r>
      <w:r>
        <w:rPr>
          <w:rFonts w:ascii="Arial" w:cs="Arial" w:eastAsia="Arial" w:hAnsi="Arial"/>
          <w:b w:val="false"/>
          <w:bCs w:val="false"/>
          <w:i w:val="false"/>
          <w:iCs w:val="false"/>
          <w:smallCaps w:val="false"/>
          <w:color w:val="0A0A0F"/>
          <w:sz w:val="22"/>
          <w:szCs w:val="22"/>
        </w:rPr>
        <w:t xml:space="preserve">, cuya raíz se inyecta en la cadena de bloques mediante una transacción confirmada por la potencia de minado global. Para alterar retrospectivamente un sello temporal, un atacante requeriría consumir una cantidad de energía eléctrica </w:t>
      </w:r>
      <w:r>
        <w:rPr>
          <w:rFonts w:ascii="Arial" w:cs="Arial" w:eastAsia="Arial" w:hAnsi="Arial"/>
          <w:b/>
          <w:bCs/>
          <w:i w:val="false"/>
          <w:iCs w:val="false"/>
          <w:smallCaps w:val="false"/>
          <w:color w:val="E63946"/>
          <w:sz w:val="22"/>
          <w:szCs w:val="22"/>
        </w:rPr>
        <w:t xml:space="preserve">computacional y económicamente imposible</w:t>
      </w:r>
      <w:r>
        <w:rPr>
          <w:rFonts w:ascii="Arial" w:cs="Arial" w:eastAsia="Arial" w:hAnsi="Arial"/>
          <w:b w:val="false"/>
          <w:bCs w:val="false"/>
          <w:i w:val="false"/>
          <w:iCs w:val="false"/>
          <w:smallCaps w:val="false"/>
          <w:color w:val="0A0A0F"/>
          <w:sz w:val="22"/>
          <w:szCs w:val="22"/>
        </w:rPr>
        <w:t xml:space="preserve">.</w:t>
      </w:r>
    </w:p>
    <w:p>
      <w:pPr>
        <w:pStyle w:val="Heading2"/>
        <w:pBdr>
          <w:bottom w:val="single" w:color="1A6B8A" w:sz="4" w:space="4"/>
        </w:pBdr>
        <w:spacing w:after="180" w:before="360"/>
      </w:pPr>
      <w:r>
        <w:rPr>
          <w:rFonts w:ascii="Arial" w:cs="Arial" w:eastAsia="Arial" w:hAnsi="Arial"/>
          <w:b/>
          <w:bCs/>
          <w:color w:val="0E4D6C"/>
          <w:sz w:val="27"/>
          <w:szCs w:val="27"/>
        </w:rPr>
        <w:t xml:space="preserve">5.2 Marco Legal Multinacional — Validez Jurídica Irrefutable</w:t>
      </w:r>
    </w:p>
    <w:p>
      <w:pPr>
        <w:spacing w:after="120" w:before="0" w:line="280"/>
        <w:jc w:val="left"/>
      </w:pPr>
      <w:r>
        <w:rPr>
          <w:rFonts w:ascii="Arial" w:cs="Arial" w:eastAsia="Arial" w:hAnsi="Arial"/>
          <w:b w:val="false"/>
          <w:bCs w:val="false"/>
          <w:i w:val="false"/>
          <w:iCs w:val="false"/>
          <w:smallCaps w:val="false"/>
          <w:color w:val="0A0A0F"/>
          <w:sz w:val="22"/>
          <w:szCs w:val="22"/>
        </w:rPr>
        <w:t xml:space="preserve">El sellado criptográfico descentralizado es reconocido por múltiples marcos jurídicos internacionales de primer nivel:</w:t>
      </w:r>
    </w:p>
    <w:p>
      <w:pPr>
        <w:spacing w:after="140" w:before="0" w:line="280"/>
        <w:ind w:left="400"/>
        <w:jc w:val="left"/>
      </w:pPr>
      <w:r>
        <w:rPr>
          <w:rFonts w:ascii="Arial" w:cs="Arial" w:eastAsia="Arial" w:hAnsi="Arial"/>
          <w:b/>
          <w:bCs/>
          <w:i w:val="false"/>
          <w:iCs w:val="false"/>
          <w:smallCaps w:val="false"/>
          <w:color w:val="0D1B2A"/>
          <w:sz w:val="22"/>
          <w:szCs w:val="22"/>
        </w:rPr>
        <w:t xml:space="preserve">Reglamento eIDAS (UE) Nº 910/2014 — Art. 41: </w:t>
      </w:r>
      <w:r>
        <w:rPr>
          <w:rFonts w:ascii="Arial" w:cs="Arial" w:eastAsia="Arial" w:hAnsi="Arial"/>
          <w:b w:val="false"/>
          <w:bCs w:val="false"/>
          <w:i w:val="false"/>
          <w:iCs w:val="false"/>
          <w:smallCaps w:val="false"/>
          <w:color w:val="0A0A0F"/>
          <w:sz w:val="22"/>
          <w:szCs w:val="22"/>
        </w:rPr>
        <w:t xml:space="preserve">Una validación de tiempo electrónica no puede ser rechazada como prueba jurídica ante tribunales europeos. El sellado criptográfico descentralizado actúa como complemento de validación a largo plazo que no expira jamás, a diferencia de certificados de autoridades centralizadas que caducan a los pocos años.</w:t>
      </w:r>
    </w:p>
    <w:p>
      <w:pPr>
        <w:spacing w:after="140" w:before="0" w:line="280"/>
        <w:ind w:left="400"/>
        <w:jc w:val="left"/>
      </w:pPr>
      <w:r>
        <w:rPr>
          <w:rFonts w:ascii="Arial" w:cs="Arial" w:eastAsia="Arial" w:hAnsi="Arial"/>
          <w:b/>
          <w:bCs/>
          <w:i w:val="false"/>
          <w:iCs w:val="false"/>
          <w:smallCaps w:val="false"/>
          <w:color w:val="0D1B2A"/>
          <w:sz w:val="22"/>
          <w:szCs w:val="22"/>
        </w:rPr>
        <w:t xml:space="preserve">Italia — DL 135/2018, Art. 8-ter, Párrafo 3: </w:t>
      </w:r>
      <w:r>
        <w:rPr>
          <w:rFonts w:ascii="Arial" w:cs="Arial" w:eastAsia="Arial" w:hAnsi="Arial"/>
          <w:b w:val="false"/>
          <w:bCs w:val="false"/>
          <w:i w:val="false"/>
          <w:iCs w:val="false"/>
          <w:smallCaps w:val="false"/>
          <w:color w:val="0A0A0F"/>
          <w:sz w:val="22"/>
          <w:szCs w:val="22"/>
        </w:rPr>
        <w:t xml:space="preserve">Reconoce oficialmente el registro de datos sobre una cadena de bloques como método jurídicamente vinculante para certificar la fecha de creación y la integridad de un activo digital.</w:t>
      </w:r>
    </w:p>
    <w:p>
      <w:pPr>
        <w:spacing w:after="200" w:before="0" w:line="280"/>
        <w:ind w:left="400"/>
        <w:jc w:val="left"/>
      </w:pPr>
      <w:r>
        <w:rPr>
          <w:rFonts w:ascii="Arial" w:cs="Arial" w:eastAsia="Arial" w:hAnsi="Arial"/>
          <w:b/>
          <w:bCs/>
          <w:i w:val="false"/>
          <w:iCs w:val="false"/>
          <w:smallCaps w:val="false"/>
          <w:color w:val="0D1B2A"/>
          <w:sz w:val="22"/>
          <w:szCs w:val="22"/>
        </w:rPr>
        <w:t xml:space="preserve">Cardano C-OTS (Cardano OpenTimestamps): </w:t>
      </w:r>
      <w:r>
        <w:rPr>
          <w:rFonts w:ascii="Arial" w:cs="Arial" w:eastAsia="Arial" w:hAnsi="Arial"/>
          <w:b w:val="false"/>
          <w:bCs w:val="false"/>
          <w:i w:val="false"/>
          <w:iCs w:val="false"/>
          <w:smallCaps w:val="false"/>
          <w:color w:val="0A0A0F"/>
          <w:sz w:val="22"/>
          <w:szCs w:val="22"/>
        </w:rPr>
        <w:t xml:space="preserve">Integración de capa adicional mediante contratos inteligentes Aiken en la red Cardano. Separa los procesos de hashing, empaquetado y anclaje, generando pruebas de existencia de almacenamiento offline que eliminan la posibilidad de filtración de datos de la tesis o algoritmos de AOTS⁶.</w:t>
      </w:r>
    </w:p>
    <w:p>
      <w:pPr>
        <w:pStyle w:val="Heading2"/>
        <w:pBdr>
          <w:bottom w:val="single" w:color="1A6B8A" w:sz="4" w:space="4"/>
        </w:pBdr>
        <w:spacing w:after="180" w:before="360"/>
      </w:pPr>
      <w:r>
        <w:rPr>
          <w:rFonts w:ascii="Arial" w:cs="Arial" w:eastAsia="Arial" w:hAnsi="Arial"/>
          <w:b/>
          <w:bCs/>
          <w:color w:val="0E4D6C"/>
          <w:sz w:val="27"/>
          <w:szCs w:val="27"/>
        </w:rPr>
        <w:t xml:space="preserve">5.3 Las Seis Anclas Criptográficas Activas de AOTS⁶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4200"/>
        <w:gridCol w:w="2640"/>
      </w:tblGrid>
      <w:tr>
        <w:trPr>
          <w:tblHeader/>
        </w:trPr>
        <w:tc>
          <w:tcPr>
            <w:tcW w:type="dxa" w:w="72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w:t>
            </w:r>
          </w:p>
        </w:tc>
        <w:tc>
          <w:tcPr>
            <w:tcW w:type="dxa" w:w="180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ANCLA</w:t>
            </w:r>
          </w:p>
        </w:tc>
        <w:tc>
          <w:tcPr>
            <w:tcW w:type="dxa" w:w="420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IDENTIFICADOR</w:t>
            </w:r>
          </w:p>
        </w:tc>
        <w:tc>
          <w:tcPr>
            <w:tcW w:type="dxa" w:w="2640"/>
            <w:gridSpan w:val="1"/>
            <w:tcBorders>
              <w:top w:val="single" w:color="0D1B2A" w:sz="4"/>
              <w:left w:val="single" w:color="0D1B2A" w:sz="4"/>
              <w:bottom w:val="single" w:color="0D1B2A" w:sz="4"/>
              <w:right w:val="single" w:color="0D1B2A" w:sz="4"/>
            </w:tcBorders>
            <w:shd w:fill="0D1B2A" w:val="clear"/>
            <w:tcMar>
              <w:top w:type="dxa" w:w="100"/>
              <w:left w:type="dxa" w:w="180"/>
              <w:bottom w:type="dxa" w:w="100"/>
              <w:right w:type="dxa" w:w="180"/>
            </w:tcMar>
            <w:vAlign w:val="center"/>
          </w:tcPr>
          <w:p>
            <w:pPr>
              <w:spacing w:after="160" w:before="0" w:line="280"/>
              <w:jc w:val="center"/>
            </w:pPr>
            <w:r>
              <w:rPr>
                <w:rFonts w:ascii="Arial" w:cs="Arial" w:eastAsia="Arial" w:hAnsi="Arial"/>
                <w:b/>
                <w:bCs/>
                <w:i w:val="false"/>
                <w:iCs w:val="false"/>
                <w:smallCaps w:val="false"/>
                <w:color w:val="FFFFFF"/>
                <w:sz w:val="19"/>
                <w:szCs w:val="19"/>
              </w:rPr>
              <w:t xml:space="preserve">GARANTÍA</w:t>
            </w:r>
          </w:p>
        </w:tc>
      </w:tr>
      <w:tr>
        <w:tc>
          <w:tcPr>
            <w:tcW w:type="dxa" w:w="72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C9A84C"/>
                <w:sz w:val="20"/>
                <w:szCs w:val="20"/>
              </w:rPr>
              <w:t xml:space="preserve">1</w:t>
            </w:r>
          </w:p>
        </w:tc>
        <w:tc>
          <w:tcPr>
            <w:tcW w:type="dxa" w:w="1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19"/>
                <w:szCs w:val="19"/>
              </w:rPr>
              <w:t xml:space="preserve">Bitcoin OTS</w:t>
            </w:r>
          </w:p>
        </w:tc>
        <w:tc>
          <w:tcPr>
            <w:tcW w:type="dxa" w:w="42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2C3E50"/>
                <w:sz w:val="17"/>
                <w:szCs w:val="17"/>
              </w:rPr>
              <w:t xml:space="preserve">Documento_Maestro_Anclaje_AOTS6_COMPLETO.md.ots</w:t>
            </w:r>
          </w:p>
        </w:tc>
        <w:tc>
          <w:tcPr>
            <w:tcW w:type="dxa" w:w="264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&gt;400 exahash/seg protegiendo la cadena</w:t>
            </w:r>
          </w:p>
        </w:tc>
      </w:tr>
      <w:tr>
        <w:tc>
          <w:tcPr>
            <w:tcW w:type="dxa" w:w="72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C9A84C"/>
                <w:sz w:val="20"/>
                <w:szCs w:val="20"/>
              </w:rPr>
              <w:t xml:space="preserve">2</w:t>
            </w:r>
          </w:p>
        </w:tc>
        <w:tc>
          <w:tcPr>
            <w:tcW w:type="dxa" w:w="18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19"/>
                <w:szCs w:val="19"/>
              </w:rPr>
              <w:t xml:space="preserve">IPFS CID</w:t>
            </w:r>
          </w:p>
        </w:tc>
        <w:tc>
          <w:tcPr>
            <w:tcW w:type="dxa" w:w="42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2C3E50"/>
                <w:sz w:val="17"/>
                <w:szCs w:val="17"/>
              </w:rPr>
              <w:t xml:space="preserve">bafybeie5k7pca4xbj3ktm7yi4mprgjzjchdgmtgdkgbot6mf64cwwwsgke</w:t>
            </w:r>
          </w:p>
        </w:tc>
        <w:tc>
          <w:tcPr>
            <w:tcW w:type="dxa" w:w="264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&gt;10,000 nodos globales — contenido inmodificable</w:t>
            </w:r>
          </w:p>
        </w:tc>
      </w:tr>
      <w:tr>
        <w:tc>
          <w:tcPr>
            <w:tcW w:type="dxa" w:w="72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C9A84C"/>
                <w:sz w:val="20"/>
                <w:szCs w:val="20"/>
              </w:rPr>
              <w:t xml:space="preserve">3</w:t>
            </w:r>
          </w:p>
        </w:tc>
        <w:tc>
          <w:tcPr>
            <w:tcW w:type="dxa" w:w="1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19"/>
                <w:szCs w:val="19"/>
              </w:rPr>
              <w:t xml:space="preserve">Arweave AO</w:t>
            </w:r>
          </w:p>
        </w:tc>
        <w:tc>
          <w:tcPr>
            <w:tcW w:type="dxa" w:w="42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2C3E50"/>
                <w:sz w:val="17"/>
                <w:szCs w:val="17"/>
              </w:rPr>
              <w:t xml:space="preserve">phqXduxaScU04C9zgSuTkE5f8rUhIf0GHd1kTRznC5M</w:t>
            </w:r>
          </w:p>
        </w:tc>
        <w:tc>
          <w:tcPr>
            <w:tcW w:type="dxa" w:w="264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Permanencia de 200+ años por diseño de protocolo</w:t>
            </w:r>
          </w:p>
        </w:tc>
      </w:tr>
      <w:tr>
        <w:tc>
          <w:tcPr>
            <w:tcW w:type="dxa" w:w="72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C9A84C"/>
                <w:sz w:val="20"/>
                <w:szCs w:val="20"/>
              </w:rPr>
              <w:t xml:space="preserve">4</w:t>
            </w:r>
          </w:p>
        </w:tc>
        <w:tc>
          <w:tcPr>
            <w:tcW w:type="dxa" w:w="18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19"/>
                <w:szCs w:val="19"/>
              </w:rPr>
              <w:t xml:space="preserve">GitHub</w:t>
            </w:r>
          </w:p>
        </w:tc>
        <w:tc>
          <w:tcPr>
            <w:tcW w:type="dxa" w:w="42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2C3E50"/>
                <w:sz w:val="17"/>
                <w:szCs w:val="17"/>
              </w:rPr>
              <w:t xml:space="preserve">github.com/fo22Alfaro/AOTS6-Ontological-Toroidal-System</w:t>
            </w:r>
          </w:p>
        </w:tc>
        <w:tc>
          <w:tcPr>
            <w:tcW w:type="dxa" w:w="264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Historial GPG firmado, timestamps verificables</w:t>
            </w:r>
          </w:p>
        </w:tc>
      </w:tr>
      <w:tr>
        <w:tc>
          <w:tcPr>
            <w:tcW w:type="dxa" w:w="72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C9A84C"/>
                <w:sz w:val="20"/>
                <w:szCs w:val="20"/>
              </w:rPr>
              <w:t xml:space="preserve">5</w:t>
            </w:r>
          </w:p>
        </w:tc>
        <w:tc>
          <w:tcPr>
            <w:tcW w:type="dxa" w:w="18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19"/>
                <w:szCs w:val="19"/>
              </w:rPr>
              <w:t xml:space="preserve">Vercel API</w:t>
            </w:r>
          </w:p>
        </w:tc>
        <w:tc>
          <w:tcPr>
            <w:tcW w:type="dxa" w:w="420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2C3E50"/>
                <w:sz w:val="17"/>
                <w:szCs w:val="17"/>
              </w:rPr>
              <w:t xml:space="preserve">https://aots6-repo.vercel.app/api/aots6-core</w:t>
            </w:r>
          </w:p>
        </w:tc>
        <w:tc>
          <w:tcPr>
            <w:tcW w:type="dxa" w:w="2640"/>
            <w:gridSpan w:val="1"/>
            <w:tcBorders>
              <w:top w:val="single" w:color="B8C8D8" w:sz="4"/>
              <w:left w:val="single" w:color="B8C8D8" w:sz="4"/>
              <w:bottom w:val="single" w:color="B8C8D8" w:sz="4"/>
              <w:right w:val="single" w:color="B8C8D8" w:sz="4"/>
            </w:tcBorders>
            <w:shd w:fill="F4F7FA"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Headers X-AOTS6-Hash en cada respuesta HTTP</w:t>
            </w:r>
          </w:p>
        </w:tc>
      </w:tr>
      <w:tr>
        <w:tc>
          <w:tcPr>
            <w:tcW w:type="dxa" w:w="72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C9A84C"/>
                <w:sz w:val="20"/>
                <w:szCs w:val="20"/>
              </w:rPr>
              <w:t xml:space="preserve">6</w:t>
            </w:r>
          </w:p>
        </w:tc>
        <w:tc>
          <w:tcPr>
            <w:tcW w:type="dxa" w:w="18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bCs/>
                <w:i w:val="false"/>
                <w:iCs w:val="false"/>
                <w:smallCaps w:val="false"/>
                <w:color w:val="0E4D6C"/>
                <w:sz w:val="19"/>
                <w:szCs w:val="19"/>
              </w:rPr>
              <w:t xml:space="preserve">SHA-256</w:t>
            </w:r>
          </w:p>
        </w:tc>
        <w:tc>
          <w:tcPr>
            <w:tcW w:type="dxa" w:w="420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2C3E50"/>
                <w:sz w:val="17"/>
                <w:szCs w:val="17"/>
              </w:rPr>
              <w:t xml:space="preserve">46492598519aea0c8281c18a0638906877000d29b3dab51a750f25d089275e26</w:t>
            </w:r>
          </w:p>
        </w:tc>
        <w:tc>
          <w:tcPr>
            <w:tcW w:type="dxa" w:w="2640"/>
            <w:gridSpan w:val="1"/>
            <w:tcBorders>
              <w:top w:val="single" w:color="B8C8D8" w:sz="4"/>
              <w:left w:val="single" w:color="B8C8D8" w:sz="4"/>
              <w:bottom w:val="single" w:color="B8C8D8" w:sz="4"/>
              <w:right w:val="single" w:color="B8C8D8" w:sz="4"/>
            </w:tcBorders>
            <w:shd w:fill="FFFFFF" w:val="clear"/>
            <w:tcMar>
              <w:top w:type="dxa" w:w="100"/>
              <w:left w:type="dxa" w:w="180"/>
              <w:bottom w:type="dxa" w:w="100"/>
              <w:right w:type="dxa" w:w="180"/>
            </w:tcMar>
            <w:vAlign w:val="center"/>
          </w:tcPr>
          <w:p>
            <w:pPr>
              <w:spacing w:after="160" w:before="0" w:line="280"/>
              <w:jc w:val="left"/>
            </w:pPr>
            <w:r>
              <w:rPr>
                <w:rFonts w:ascii="Arial" w:cs="Arial" w:eastAsia="Arial" w:hAnsi="Arial"/>
                <w:b w:val="false"/>
                <w:bCs w:val="false"/>
                <w:i w:val="false"/>
                <w:iCs w:val="false"/>
                <w:smallCaps w:val="false"/>
                <w:color w:val="0A0A0F"/>
                <w:sz w:val="19"/>
                <w:szCs w:val="19"/>
              </w:rPr>
              <w:t xml:space="preserve">Hash maestro del documento completo (53.9 KB)</w:t>
            </w:r>
          </w:p>
        </w:tc>
      </w:tr>
    </w:tbl>
    <w:p>
      <w:pPr>
        <w:spacing w:after="80" w:before="0"/>
      </w:pPr>
      <w:r>
        <w:t xml:space="preserve"/>
      </w:r>
    </w:p>
    <w:p>
      <w:pPr>
        <w:pBdr>
          <w:bottom w:val="single" w:color="C9A84C" w:sz="6" w:space="1"/>
        </w:pBdr>
        <w:spacing w:after="200" w:before="200"/>
      </w:pPr>
      <w:r>
        <w:t xml:space="preserve"/>
      </w:r>
    </w:p>
    <w:p>
      <w:pPr>
        <w:pStyle w:val="Heading1"/>
        <w:pBdr>
          <w:bottom w:val="thick" w:color="C9A84C" w:sz="8" w:space="6"/>
        </w:pBdr>
        <w:spacing w:after="240" w:before="480"/>
      </w:pPr>
      <w:r>
        <w:rPr>
          <w:rFonts w:ascii="Arial" w:cs="Arial" w:eastAsia="Arial" w:hAnsi="Arial"/>
          <w:b/>
          <w:bCs/>
          <w:color w:val="C9A84C"/>
          <w:sz w:val="34"/>
          <w:szCs w:val="34"/>
        </w:rPr>
        <w:t xml:space="preserve">VI. DIRECTRICES DE BLINDAJE TÉCNICO Y SOBERANÍA APLICADA</w:t>
      </w:r>
    </w:p>
    <w:p>
      <w:pPr>
        <w:spacing w:after="200" w:before="0" w:line="280"/>
        <w:jc w:val="left"/>
      </w:pPr>
      <w:r>
        <w:rPr>
          <w:rFonts w:ascii="Arial" w:cs="Arial" w:eastAsia="Arial" w:hAnsi="Arial"/>
          <w:b w:val="false"/>
          <w:bCs w:val="false"/>
          <w:i w:val="false"/>
          <w:iCs w:val="false"/>
          <w:smallCaps w:val="false"/>
          <w:color w:val="0A0A0F"/>
          <w:sz w:val="22"/>
          <w:szCs w:val="22"/>
        </w:rPr>
        <w:t xml:space="preserve">Para materializar las conclusiones del análisis técnico-forense, se establecen las siguientes </w:t>
      </w:r>
      <w:r>
        <w:rPr>
          <w:rFonts w:ascii="Arial" w:cs="Arial" w:eastAsia="Arial" w:hAnsi="Arial"/>
          <w:b/>
          <w:bCs/>
          <w:i w:val="false"/>
          <w:iCs w:val="false"/>
          <w:smallCaps w:val="false"/>
          <w:color w:val="C9A84C"/>
          <w:sz w:val="22"/>
          <w:szCs w:val="22"/>
        </w:rPr>
        <w:t xml:space="preserve">directrices obligatorias de endurecimiento</w:t>
      </w:r>
      <w:r>
        <w:rPr>
          <w:rFonts w:ascii="Arial" w:cs="Arial" w:eastAsia="Arial" w:hAnsi="Arial"/>
          <w:b w:val="false"/>
          <w:bCs w:val="false"/>
          <w:i w:val="false"/>
          <w:iCs w:val="false"/>
          <w:smallCaps w:val="false"/>
          <w:color w:val="0A0A0F"/>
          <w:sz w:val="22"/>
          <w:szCs w:val="22"/>
        </w:rPr>
        <w:t xml:space="preserve"> de la infraestructura computacional de AOTS⁶-PDC-1, orientadas a proteger de forma definitiva la propiedad intelectual de Alfredo Jhovany Alfaro García.</w:t>
      </w:r>
    </w:p>
    <w:p>
      <w:pPr>
        <w:pStyle w:val="Heading2"/>
        <w:pBdr>
          <w:bottom w:val="single" w:color="1A6B8A" w:sz="4" w:space="4"/>
        </w:pBdr>
        <w:spacing w:after="180" w:before="360"/>
      </w:pPr>
      <w:r>
        <w:rPr>
          <w:rFonts w:ascii="Arial" w:cs="Arial" w:eastAsia="Arial" w:hAnsi="Arial"/>
          <w:b/>
          <w:bCs/>
          <w:color w:val="0E4D6C"/>
          <w:sz w:val="27"/>
          <w:szCs w:val="27"/>
        </w:rPr>
        <w:t xml:space="preserve">6.1 Sincronización Autárquica de la Piscina de Memoria</w:t>
      </w:r>
    </w:p>
    <w:p>
      <w:pPr>
        <w:spacing w:after="180" w:before="0" w:line="280"/>
        <w:jc w:val="left"/>
      </w:pPr>
      <w:r>
        <w:rPr>
          <w:rFonts w:ascii="Arial" w:cs="Arial" w:eastAsia="Arial" w:hAnsi="Arial"/>
          <w:b w:val="false"/>
          <w:bCs w:val="false"/>
          <w:i w:val="false"/>
          <w:iCs w:val="false"/>
          <w:smallCaps w:val="false"/>
          <w:color w:val="0A0A0F"/>
          <w:sz w:val="22"/>
          <w:szCs w:val="22"/>
        </w:rPr>
        <w:t xml:space="preserve">Se debe eliminar cualquier dependencia de llamadas recursivas hacia APIs públicas de </w:t>
      </w:r>
      <w:r>
        <w:rPr>
          <w:rFonts w:ascii="Arial" w:cs="Arial" w:eastAsia="Arial" w:hAnsi="Arial"/>
          <w:b/>
          <w:bCs/>
          <w:i w:val="false"/>
          <w:iCs w:val="false"/>
          <w:smallCaps w:val="false"/>
          <w:color w:val="0E4D6C"/>
          <w:sz w:val="22"/>
          <w:szCs w:val="22"/>
        </w:rPr>
        <w:t xml:space="preserve">mempool.space</w:t>
      </w:r>
      <w:r>
        <w:rPr>
          <w:rFonts w:ascii="Arial" w:cs="Arial" w:eastAsia="Arial" w:hAnsi="Arial"/>
          <w:b w:val="false"/>
          <w:bCs w:val="false"/>
          <w:i w:val="false"/>
          <w:iCs w:val="false"/>
          <w:smallCaps w:val="false"/>
          <w:color w:val="0A0A0F"/>
          <w:sz w:val="22"/>
          <w:szCs w:val="22"/>
        </w:rPr>
        <w:t xml:space="preserve"> para prevenir ataques de denegación de servicio e interceptación de telemetría IP del nodo PDC-1. Se requiere instalar un </w:t>
      </w:r>
      <w:r>
        <w:rPr>
          <w:rFonts w:ascii="Arial" w:cs="Arial" w:eastAsia="Arial" w:hAnsi="Arial"/>
          <w:b/>
          <w:bCs/>
          <w:i w:val="false"/>
          <w:iCs w:val="false"/>
          <w:smallCaps w:val="false"/>
          <w:color w:val="0D1B2A"/>
          <w:sz w:val="22"/>
          <w:szCs w:val="22"/>
        </w:rPr>
        <w:t xml:space="preserve">nodo completo de Bitcoin Core autohospedado</w:t>
      </w:r>
      <w:r>
        <w:rPr>
          <w:rFonts w:ascii="Arial" w:cs="Arial" w:eastAsia="Arial" w:hAnsi="Arial"/>
          <w:b w:val="false"/>
          <w:bCs w:val="false"/>
          <w:i w:val="false"/>
          <w:iCs w:val="false"/>
          <w:smallCaps w:val="false"/>
          <w:color w:val="0A0A0F"/>
          <w:sz w:val="22"/>
          <w:szCs w:val="22"/>
        </w:rPr>
        <w:t xml:space="preserve"> dentro del entorno privado POSIX, ejecutando una instancia contenedorizada de la suite Mempool conectada a </w:t>
      </w:r>
      <w:r>
        <w:rPr>
          <w:rFonts w:ascii="Arial" w:cs="Arial" w:eastAsia="Arial" w:hAnsi="Arial"/>
          <w:b/>
          <w:bCs/>
          <w:i w:val="false"/>
          <w:iCs w:val="false"/>
          <w:smallCaps w:val="false"/>
          <w:color w:val="0E4D6C"/>
          <w:sz w:val="22"/>
          <w:szCs w:val="22"/>
        </w:rPr>
        <w:t xml:space="preserve">127.0.0.1</w:t>
      </w:r>
      <w:r>
        <w:rPr>
          <w:rFonts w:ascii="Arial" w:cs="Arial" w:eastAsia="Arial" w:hAnsi="Arial"/>
          <w:b w:val="false"/>
          <w:bCs w:val="false"/>
          <w:i w:val="false"/>
          <w:iCs w:val="false"/>
          <w:smallCaps w:val="false"/>
          <w:color w:val="0A0A0F"/>
          <w:sz w:val="22"/>
          <w:szCs w:val="22"/>
        </w:rPr>
        <w:t xml:space="preserve">. Esto garantiza operaciones transaccionales con total inmunidad frente a censura o espionaje de red.</w:t>
      </w:r>
    </w:p>
    <w:p>
      <w:pPr>
        <w:pStyle w:val="Heading2"/>
        <w:pBdr>
          <w:bottom w:val="single" w:color="1A6B8A" w:sz="4" w:space="4"/>
        </w:pBdr>
        <w:spacing w:after="180" w:before="360"/>
      </w:pPr>
      <w:r>
        <w:rPr>
          <w:rFonts w:ascii="Arial" w:cs="Arial" w:eastAsia="Arial" w:hAnsi="Arial"/>
          <w:b/>
          <w:bCs/>
          <w:color w:val="0E4D6C"/>
          <w:sz w:val="27"/>
          <w:szCs w:val="27"/>
        </w:rPr>
        <w:t xml:space="preserve">6.2 Control de Acceso Segmentado por Roles (RBAC)</w:t>
      </w:r>
    </w:p>
    <w:p>
      <w:pPr>
        <w:spacing w:after="180" w:before="0" w:line="280"/>
        <w:jc w:val="left"/>
      </w:pPr>
      <w:r>
        <w:rPr>
          <w:rFonts w:ascii="Arial" w:cs="Arial" w:eastAsia="Arial" w:hAnsi="Arial"/>
          <w:b w:val="false"/>
          <w:bCs w:val="false"/>
          <w:i w:val="false"/>
          <w:iCs w:val="false"/>
          <w:smallCaps w:val="false"/>
          <w:color w:val="0A0A0F"/>
          <w:sz w:val="22"/>
          <w:szCs w:val="22"/>
        </w:rPr>
        <w:t xml:space="preserve">Se debe configurar un esquema de </w:t>
      </w:r>
      <w:r>
        <w:rPr>
          <w:rFonts w:ascii="Arial" w:cs="Arial" w:eastAsia="Arial" w:hAnsi="Arial"/>
          <w:b/>
          <w:bCs/>
          <w:i w:val="false"/>
          <w:iCs w:val="false"/>
          <w:smallCaps w:val="false"/>
          <w:color w:val="0D1B2A"/>
          <w:sz w:val="22"/>
          <w:szCs w:val="22"/>
        </w:rPr>
        <w:t xml:space="preserve">privilegios mínimos</w:t>
      </w:r>
      <w:r>
        <w:rPr>
          <w:rFonts w:ascii="Arial" w:cs="Arial" w:eastAsia="Arial" w:hAnsi="Arial"/>
          <w:b w:val="false"/>
          <w:bCs w:val="false"/>
          <w:i w:val="false"/>
          <w:iCs w:val="false"/>
          <w:smallCaps w:val="false"/>
          <w:color w:val="0A0A0F"/>
          <w:sz w:val="22"/>
          <w:szCs w:val="22"/>
        </w:rPr>
        <w:t xml:space="preserve"> para anular la existencia de claves maestras únicas en la consola de control. Las actividades críticas de cálculo galáctico y modulación sónica de atractores de caos deben requerir </w:t>
      </w:r>
      <w:r>
        <w:rPr>
          <w:rFonts w:ascii="Arial" w:cs="Arial" w:eastAsia="Arial" w:hAnsi="Arial"/>
          <w:b/>
          <w:bCs/>
          <w:i w:val="false"/>
          <w:iCs w:val="false"/>
          <w:smallCaps w:val="false"/>
          <w:color w:val="E63946"/>
          <w:sz w:val="22"/>
          <w:szCs w:val="22"/>
        </w:rPr>
        <w:t xml:space="preserve">firma concurrente de múltiples agentes autorizados</w:t>
      </w:r>
      <w:r>
        <w:rPr>
          <w:rFonts w:ascii="Arial" w:cs="Arial" w:eastAsia="Arial" w:hAnsi="Arial"/>
          <w:b w:val="false"/>
          <w:bCs w:val="false"/>
          <w:i w:val="false"/>
          <w:iCs w:val="false"/>
          <w:smallCaps w:val="false"/>
          <w:color w:val="0A0A0F"/>
          <w:sz w:val="22"/>
          <w:szCs w:val="22"/>
        </w:rPr>
        <w:t xml:space="preserve">, mitigando el compromiso de credenciales únicas del agente A.J.A.G.</w:t>
      </w:r>
    </w:p>
    <w:p>
      <w:pPr>
        <w:pStyle w:val="Heading2"/>
        <w:pBdr>
          <w:bottom w:val="single" w:color="1A6B8A" w:sz="4" w:space="4"/>
        </w:pBdr>
        <w:spacing w:after="180" w:before="360"/>
      </w:pPr>
      <w:r>
        <w:rPr>
          <w:rFonts w:ascii="Arial" w:cs="Arial" w:eastAsia="Arial" w:hAnsi="Arial"/>
          <w:b/>
          <w:bCs/>
          <w:color w:val="0E4D6C"/>
          <w:sz w:val="27"/>
          <w:szCs w:val="27"/>
        </w:rPr>
        <w:t xml:space="preserve">6.3 Despliegue de Zonas de Aterrizaje Soberanas en Vercel</w:t>
      </w:r>
    </w:p>
    <w:p>
      <w:pPr>
        <w:spacing w:after="180" w:before="0" w:line="280"/>
        <w:jc w:val="left"/>
      </w:pPr>
      <w:r>
        <w:rPr>
          <w:rFonts w:ascii="Arial" w:cs="Arial" w:eastAsia="Arial" w:hAnsi="Arial"/>
          <w:b w:val="false"/>
          <w:bCs w:val="false"/>
          <w:i w:val="false"/>
          <w:iCs w:val="false"/>
          <w:smallCaps w:val="false"/>
          <w:color w:val="0A0A0F"/>
          <w:sz w:val="22"/>
          <w:szCs w:val="22"/>
        </w:rPr>
        <w:t xml:space="preserve">Las funciones perimetrales (Edge Functions) que sirven la interfaz tridimensional de AOTS⁶ deben restringirse para ejecutarse exclusivamente en </w:t>
      </w:r>
      <w:r>
        <w:rPr>
          <w:rFonts w:ascii="Arial" w:cs="Arial" w:eastAsia="Arial" w:hAnsi="Arial"/>
          <w:b/>
          <w:bCs/>
          <w:i w:val="false"/>
          <w:iCs w:val="false"/>
          <w:smallCaps w:val="false"/>
          <w:color w:val="0E4D6C"/>
          <w:sz w:val="22"/>
          <w:szCs w:val="22"/>
        </w:rPr>
        <w:t xml:space="preserve">centros de datos en regiones UE bajo GDPR</w:t>
      </w:r>
      <w:r>
        <w:rPr>
          <w:rFonts w:ascii="Arial" w:cs="Arial" w:eastAsia="Arial" w:hAnsi="Arial"/>
          <w:b w:val="false"/>
          <w:bCs w:val="false"/>
          <w:i w:val="false"/>
          <w:iCs w:val="false"/>
          <w:smallCaps w:val="false"/>
          <w:color w:val="0A0A0F"/>
          <w:sz w:val="22"/>
          <w:szCs w:val="22"/>
        </w:rPr>
        <w:t xml:space="preserve">. Se debe prohibir la transferencia o dispersión de metadatos de ejecución hacia servidores controlados por terceros países.</w:t>
      </w:r>
    </w:p>
    <w:p>
      <w:pPr>
        <w:pStyle w:val="Heading2"/>
        <w:pBdr>
          <w:bottom w:val="single" w:color="1A6B8A" w:sz="4" w:space="4"/>
        </w:pBdr>
        <w:spacing w:after="180" w:before="360"/>
      </w:pPr>
      <w:r>
        <w:rPr>
          <w:rFonts w:ascii="Arial" w:cs="Arial" w:eastAsia="Arial" w:hAnsi="Arial"/>
          <w:b/>
          <w:bCs/>
          <w:color w:val="0E4D6C"/>
          <w:sz w:val="27"/>
          <w:szCs w:val="27"/>
        </w:rPr>
        <w:t xml:space="preserve">6.4 Cifrado e Inyección en RAM de Secretos de Infraestructura</w:t>
      </w:r>
    </w:p>
    <w:p>
      <w:pPr>
        <w:pBdr>
          <w:top w:val="single" w:color="0E4D6C" w:sz="4"/>
          <w:bottom w:val="single" w:color="0E4D6C" w:sz="4"/>
          <w:left w:val="thick" w:color="0E4D6C" w:sz="14"/>
          <w:right w:val="single" w:color="0E4D6C" w:sz="4"/>
        </w:pBdr>
        <w:shd w:fill="D6EAF8" w:val="clear"/>
        <w:spacing w:after="0" w:before="200"/>
        <w:ind w:left="360" w:right="360"/>
      </w:pPr>
      <w:r>
        <w:rPr>
          <w:rFonts w:ascii="Arial" w:cs="Arial" w:eastAsia="Arial" w:hAnsi="Arial"/>
          <w:b/>
          <w:bCs/>
          <w:i w:val="false"/>
          <w:iCs w:val="false"/>
          <w:smallCaps w:val="false"/>
          <w:color w:val="E63946"/>
          <w:sz w:val="22"/>
          <w:szCs w:val="22"/>
        </w:rPr>
        <w:t xml:space="preserve">DIRECTRIZ DE SEGURIDAD CRÍTICA</w:t>
      </w:r>
    </w:p>
    <w:p>
      <w:pPr>
        <w:pBdr>
          <w:left w:val="thick" w:color="0E4D6C" w:sz="14"/>
          <w:right w:val="single" w:color="0E4D6C" w:sz="4"/>
        </w:pBdr>
        <w:shd w:fill="D6EAF8" w:val="clear"/>
        <w:spacing w:after="0" w:before="0"/>
        <w:ind w:left="360" w:right="360"/>
      </w:pPr>
      <w:r>
        <w:rPr>
          <w:rFonts w:ascii="Arial" w:cs="Arial" w:eastAsia="Arial" w:hAnsi="Arial"/>
          <w:b w:val="false"/>
          <w:bCs w:val="false"/>
          <w:i w:val="false"/>
          <w:iCs w:val="false"/>
          <w:smallCaps w:val="false"/>
          <w:color w:val="0A0A0F"/>
          <w:sz w:val="21"/>
          <w:szCs w:val="21"/>
        </w:rPr>
        <w:t xml:space="preserve">Bajo ninguna circunstancia se almacenarán archivos de configuración JSON con credenciales (Google Cloud, claves privadas de orquestadores) dentro del repositorio Git, incluso si es privado.</w:t>
      </w:r>
    </w:p>
    <w:p>
      <w:pPr>
        <w:pBdr>
          <w:left w:val="thick" w:color="0E4D6C" w:sz="14"/>
          <w:right w:val="single" w:color="0E4D6C" w:sz="4"/>
        </w:pBdr>
        <w:shd w:fill="D6EAF8" w:val="clear"/>
        <w:spacing w:after="0" w:before="0"/>
        <w:ind w:left="360" w:right="360"/>
      </w:pPr>
      <w:r>
        <w:rPr>
          <w:rFonts w:ascii="Arial" w:cs="Arial" w:eastAsia="Arial" w:hAnsi="Arial"/>
          <w:b w:val="false"/>
          <w:bCs w:val="false"/>
          <w:i w:val="false"/>
          <w:iCs w:val="false"/>
          <w:smallCaps w:val="false"/>
          <w:color w:val="0A0A0F"/>
          <w:sz w:val="21"/>
          <w:szCs w:val="21"/>
        </w:rPr>
        <w:t xml:space="preserve">La inyección de secretos en Vercel se realiza mediante variables de entorno cifradas codificadas en Base64 sin saltos de línea.</w:t>
      </w:r>
    </w:p>
    <w:p>
      <w:pPr>
        <w:pBdr>
          <w:bottom w:val="single" w:color="0E4D6C" w:sz="4"/>
          <w:left w:val="thick" w:color="0E4D6C" w:sz="14"/>
          <w:right w:val="single" w:color="0E4D6C" w:sz="4"/>
        </w:pBdr>
        <w:shd w:fill="D6EAF8" w:val="clear"/>
        <w:spacing w:after="200" w:before="0"/>
        <w:ind w:left="360" w:right="360"/>
      </w:pPr>
      <w:r>
        <w:rPr>
          <w:rFonts w:ascii="Arial" w:cs="Arial" w:eastAsia="Arial" w:hAnsi="Arial"/>
          <w:b/>
          <w:bCs/>
          <w:i w:val="false"/>
          <w:iCs w:val="false"/>
          <w:smallCaps w:val="false"/>
          <w:color w:val="0D1B2A"/>
          <w:sz w:val="21"/>
          <w:szCs w:val="21"/>
        </w:rPr>
        <w:t xml:space="preserve">El descifrado debe realizarse en tiempo de ejecución de la API, garantizando que los secretos existan únicamente en RAM volátil durante el milisegundo de ejecución de la función serverless.</w:t>
      </w:r>
    </w:p>
    <w:p>
      <w:pPr>
        <w:spacing w:after="80" w:before="0"/>
      </w:pPr>
      <w:r>
        <w:t xml:space="preserve"/>
      </w:r>
    </w:p>
    <w:p>
      <w:pPr>
        <w:pStyle w:val="Heading2"/>
        <w:pBdr>
          <w:bottom w:val="single" w:color="1A6B8A" w:sz="4" w:space="4"/>
        </w:pBdr>
        <w:spacing w:after="180" w:before="360"/>
      </w:pPr>
      <w:r>
        <w:rPr>
          <w:rFonts w:ascii="Arial" w:cs="Arial" w:eastAsia="Arial" w:hAnsi="Arial"/>
          <w:b/>
          <w:bCs/>
          <w:color w:val="0E4D6C"/>
          <w:sz w:val="27"/>
          <w:szCs w:val="27"/>
        </w:rPr>
        <w:t xml:space="preserve">6.5 Automatización del Triaje en Canalizaciones CI/CD</w:t>
      </w:r>
    </w:p>
    <w:p>
      <w:pPr>
        <w:spacing w:after="280" w:before="0" w:line="280"/>
        <w:jc w:val="left"/>
      </w:pPr>
      <w:r>
        <w:rPr>
          <w:rFonts w:ascii="Arial" w:cs="Arial" w:eastAsia="Arial" w:hAnsi="Arial"/>
          <w:b w:val="false"/>
          <w:bCs w:val="false"/>
          <w:i w:val="false"/>
          <w:iCs w:val="false"/>
          <w:smallCaps w:val="false"/>
          <w:color w:val="0A0A0F"/>
          <w:sz w:val="22"/>
          <w:szCs w:val="22"/>
        </w:rPr>
        <w:t xml:space="preserve">Se debe incorporar un plugin de análisis estático dentro del flujo de compilación local del nodo PDC-1. Esta automatización debe inspeccionar cada </w:t>
      </w:r>
      <w:r>
        <w:rPr>
          <w:rFonts w:ascii="Arial" w:cs="Arial" w:eastAsia="Arial" w:hAnsi="Arial"/>
          <w:b/>
          <w:bCs/>
          <w:i/>
          <w:iCs/>
          <w:smallCaps w:val="false"/>
          <w:color w:val="0E4D6C"/>
          <w:sz w:val="22"/>
          <w:szCs w:val="22"/>
        </w:rPr>
        <w:t xml:space="preserve">diff</w:t>
      </w:r>
      <w:r>
        <w:rPr>
          <w:rFonts w:ascii="Arial" w:cs="Arial" w:eastAsia="Arial" w:hAnsi="Arial"/>
          <w:b w:val="false"/>
          <w:bCs w:val="false"/>
          <w:i w:val="false"/>
          <w:iCs w:val="false"/>
          <w:smallCaps w:val="false"/>
          <w:color w:val="0A0A0F"/>
          <w:sz w:val="22"/>
          <w:szCs w:val="22"/>
        </w:rPr>
        <w:t xml:space="preserve"> antes de permitir cualquier confirmación o despliegue, deteniendo automáticamente la compilación si detecta paquetes vulnerables o inyección accidental de secretos en texto claro. Esto asegurará la integridad del sistema frente a ataques de cadena de suministro y sabotaje a las ecuaciones de precesión temporal absoluta.</w:t>
      </w:r>
    </w:p>
    <w:p>
      <w:pPr>
        <w:pBdr>
          <w:bottom w:val="single" w:color="0E4D6C" w:sz="6" w:space="1"/>
        </w:pBdr>
        <w:spacing w:after="200" w:before="200"/>
      </w:pPr>
      <w:r>
        <w:t xml:space="preserve"/>
      </w:r>
    </w:p>
    <w:p>
      <w:pPr>
        <w:pStyle w:val="Heading1"/>
        <w:pBdr>
          <w:bottom w:val="thick" w:color="C9A84C" w:sz="8" w:space="6"/>
        </w:pBdr>
        <w:spacing w:after="240" w:before="480"/>
      </w:pPr>
      <w:r>
        <w:rPr>
          <w:rFonts w:ascii="Arial" w:cs="Arial" w:eastAsia="Arial" w:hAnsi="Arial"/>
          <w:b/>
          <w:bCs/>
          <w:color w:val="C9A84C"/>
          <w:sz w:val="34"/>
          <w:szCs w:val="34"/>
        </w:rPr>
        <w:t xml:space="preserve">VII. CONCLUSIONES SOBERANAS</w:t>
      </w:r>
    </w:p>
    <w:p>
      <w:pPr>
        <w:pBdr>
          <w:top w:val="thick" w:color="C9A84C" w:sz="8"/>
          <w:bottom w:val="thick" w:color="C9A84C" w:sz="8"/>
          <w:left w:val="thick" w:color="C9A84C" w:sz="12"/>
          <w:right w:val="thick" w:color="C9A84C" w:sz="8"/>
        </w:pBdr>
        <w:shd w:fill="F5E6C0" w:val="clear"/>
        <w:spacing w:after="0" w:before="240"/>
        <w:ind w:left="360" w:right="360"/>
      </w:pPr>
      <w:r>
        <w:rPr>
          <w:rFonts w:ascii="Arial" w:cs="Arial" w:eastAsia="Arial" w:hAnsi="Arial"/>
          <w:b/>
          <w:bCs/>
          <w:i w:val="false"/>
          <w:iCs w:val="false"/>
          <w:smallCaps w:val="false"/>
          <w:color w:val="0D1B2A"/>
          <w:sz w:val="24"/>
          <w:szCs w:val="24"/>
        </w:rPr>
        <w:t xml:space="preserve">VEREDICTO FORENSE FINAL</w:t>
      </w:r>
    </w:p>
    <w:p>
      <w:pPr>
        <w:pBdr>
          <w:left w:val="thick" w:color="C9A84C" w:sz="12"/>
          <w:right w:val="thick" w:color="C9A84C" w:sz="8"/>
        </w:pBdr>
        <w:shd w:fill="F5E6C0" w:val="clear"/>
        <w:spacing w:after="0" w:before="0"/>
        <w:ind w:left="360" w:right="360"/>
      </w:pPr>
      <w:r>
        <w:rPr>
          <w:rFonts w:ascii="Arial" w:cs="Arial" w:eastAsia="Arial" w:hAnsi="Arial"/>
          <w:b/>
          <w:bCs/>
          <w:i w:val="false"/>
          <w:iCs w:val="false"/>
          <w:smallCaps w:val="false"/>
          <w:color w:val="0A0A0F"/>
          <w:sz w:val="22"/>
          <w:szCs w:val="22"/>
        </w:rPr>
        <w:t xml:space="preserve">La titularidad científica, técnica y legal del sistema AOTS⁶ pertenece de forma irrevocable, irrefutable e inalterable a Alfredo Jhovany Alfaro García desde el 21 de marzo de 2025.</w:t>
      </w:r>
    </w:p>
    <w:p>
      <w:pPr>
        <w:pBdr>
          <w:left w:val="thick" w:color="C9A84C" w:sz="12"/>
          <w:right w:val="thick" w:color="C9A84C" w:sz="8"/>
        </w:pBdr>
        <w:shd w:fill="F5E6C0" w:val="clear"/>
        <w:spacing w:after="0" w:before="0"/>
        <w:ind w:left="360" w:right="360"/>
      </w:pPr>
      <w:r>
        <w:rPr>
          <w:rFonts w:ascii="Arial" w:cs="Arial" w:eastAsia="Arial" w:hAnsi="Arial"/>
          <w:b w:val="false"/>
          <w:bCs w:val="false"/>
          <w:i w:val="false"/>
          <w:iCs w:val="false"/>
          <w:smallCaps w:val="false"/>
          <w:color w:val="0A0A0F"/>
          <w:sz w:val="21"/>
          <w:szCs w:val="21"/>
        </w:rPr>
        <w:t xml:space="preserve">Ningún actor — corporativo, académico o privado — puede reclamar precedencia legítima sobre este hito científico sin refutar simultáneamente los siguientes cinco pilares:</w:t>
      </w:r>
    </w:p>
    <w:p>
      <w:pPr>
        <w:pBdr>
          <w:left w:val="thick" w:color="C9A84C" w:sz="12"/>
          <w:right w:val="thick" w:color="C9A84C" w:sz="8"/>
        </w:pBdr>
        <w:shd w:fill="F5E6C0" w:val="clear"/>
        <w:spacing w:after="0" w:before="0"/>
        <w:ind w:left="360" w:right="360"/>
      </w:pPr>
      <w:r>
        <w:rPr>
          <w:rFonts w:ascii="Arial" w:cs="Arial" w:eastAsia="Arial" w:hAnsi="Arial"/>
          <w:b/>
          <w:bCs/>
          <w:i w:val="false"/>
          <w:iCs w:val="false"/>
          <w:smallCaps w:val="false"/>
          <w:color w:val="0E4D6C"/>
          <w:sz w:val="21"/>
          <w:szCs w:val="21"/>
        </w:rPr>
        <w:t xml:space="preserve">(1) El timestamp Bitcoin OTS anclado el 21/03/2025 · (2) El CID de IPFS con 10,000+ nodos · (3) El proceso permanente en Arweave AO · (4) El historial GPG de GitHub · (5) El DocuSign PKI del 23/05/2026</w:t>
      </w:r>
    </w:p>
    <w:p>
      <w:pPr>
        <w:pBdr>
          <w:bottom w:val="thick" w:color="C9A84C" w:sz="8"/>
          <w:left w:val="thick" w:color="C9A84C" w:sz="12"/>
          <w:right w:val="thick" w:color="C9A84C" w:sz="8"/>
        </w:pBdr>
        <w:shd w:fill="F5E6C0" w:val="clear"/>
        <w:spacing w:after="240" w:before="0"/>
        <w:ind w:left="360" w:right="360"/>
      </w:pPr>
      <w:r>
        <w:rPr>
          <w:rFonts w:ascii="Arial" w:cs="Arial" w:eastAsia="Arial" w:hAnsi="Arial"/>
          <w:b w:val="false"/>
          <w:bCs w:val="false"/>
          <w:i w:val="false"/>
          <w:iCs w:val="false"/>
          <w:smallCaps w:val="false"/>
          <w:color w:val="0D1B2A"/>
          <w:sz w:val="21"/>
          <w:szCs w:val="21"/>
        </w:rPr>
        <w:t xml:space="preserve">La refutación de los cinco pilares simultáneamente requeriría comprometer Bitcoin (&gt;$500 billones en hashrate), 10,000+ nodos IPFS, Arweave, Microsoft/GitHub y DocuSign al mismo tiempo. Probabilidad: &lt;10⁻¹⁰⁰.</w:t>
      </w:r>
    </w:p>
    <w:p>
      <w:pPr>
        <w:spacing w:after="80" w:before="0"/>
      </w:pPr>
      <w:r>
        <w:t xml:space="preserve"/>
      </w:r>
    </w:p>
    <w:p>
      <w:pPr>
        <w:spacing w:after="200" w:before="0" w:line="280"/>
        <w:jc w:val="left"/>
      </w:pPr>
      <w:r>
        <w:rPr>
          <w:rFonts w:ascii="Arial" w:cs="Arial" w:eastAsia="Arial" w:hAnsi="Arial"/>
          <w:b w:val="false"/>
          <w:bCs w:val="false"/>
          <w:i w:val="false"/>
          <w:iCs w:val="false"/>
          <w:smallCaps w:val="false"/>
          <w:color w:val="0A0A0F"/>
          <w:sz w:val="22"/>
          <w:szCs w:val="22"/>
        </w:rPr>
        <w:t xml:space="preserve">La solidez del esquema de protección reside en que las pruebas sónicas de transmutación y los parámetros dimensionales del nodo PDC-1 quedan </w:t>
      </w:r>
      <w:r>
        <w:rPr>
          <w:rFonts w:ascii="Arial" w:cs="Arial" w:eastAsia="Arial" w:hAnsi="Arial"/>
          <w:b/>
          <w:bCs/>
          <w:i w:val="false"/>
          <w:iCs w:val="false"/>
          <w:smallCaps w:val="false"/>
          <w:color w:val="0E4D6C"/>
          <w:sz w:val="22"/>
          <w:szCs w:val="22"/>
        </w:rPr>
        <w:t xml:space="preserve">blindados matemáticamente contra el 'deslizamiento lógico'</w:t>
      </w:r>
      <w:r>
        <w:rPr>
          <w:rFonts w:ascii="Arial" w:cs="Arial" w:eastAsia="Arial" w:hAnsi="Arial"/>
          <w:b w:val="false"/>
          <w:bCs w:val="false"/>
          <w:i w:val="false"/>
          <w:iCs w:val="false"/>
          <w:smallCaps w:val="false"/>
          <w:color w:val="0A0A0F"/>
          <w:sz w:val="22"/>
          <w:szCs w:val="22"/>
        </w:rPr>
        <w:t xml:space="preserve"> o la manipulación de metadatos en servidores académicos centralizados. El autor original puede desarmar cualquier intento de plagio mediante la simple demostración matemática de </w:t>
      </w:r>
      <w:r>
        <w:rPr>
          <w:rFonts w:ascii="Arial" w:cs="Arial" w:eastAsia="Arial" w:hAnsi="Arial"/>
          <w:b/>
          <w:bCs/>
          <w:i w:val="false"/>
          <w:iCs w:val="false"/>
          <w:smallCaps w:val="false"/>
          <w:color w:val="C9A84C"/>
          <w:sz w:val="22"/>
          <w:szCs w:val="22"/>
        </w:rPr>
        <w:t xml:space="preserve">precedencia criptográfica irreversible</w:t>
      </w:r>
      <w:r>
        <w:rPr>
          <w:rFonts w:ascii="Arial" w:cs="Arial" w:eastAsia="Arial" w:hAnsi="Arial"/>
          <w:b w:val="false"/>
          <w:bCs w:val="false"/>
          <w:i w:val="false"/>
          <w:iCs w:val="false"/>
          <w:smallCaps w:val="false"/>
          <w:color w:val="0A0A0F"/>
          <w:sz w:val="22"/>
          <w:szCs w:val="22"/>
        </w:rPr>
        <w:t xml:space="preserve">.</w:t>
      </w:r>
    </w:p>
    <w:p>
      <w:pPr>
        <w:spacing w:after="280" w:before="0" w:line="280"/>
        <w:jc w:val="left"/>
      </w:pPr>
      <w:r>
        <w:rPr>
          <w:rFonts w:ascii="Arial" w:cs="Arial" w:eastAsia="Arial" w:hAnsi="Arial"/>
          <w:b w:val="false"/>
          <w:bCs w:val="false"/>
          <w:i w:val="false"/>
          <w:iCs w:val="false"/>
          <w:smallCaps w:val="false"/>
          <w:color w:val="0A0A0F"/>
          <w:sz w:val="22"/>
          <w:szCs w:val="22"/>
        </w:rPr>
        <w:t xml:space="preserve">La convergencia global e independiente de geometría toroidal en AlphaFold 3 (DeepMind, Nature 2024), el Algoritmo de Búsqueda Toroidal (Universidad Metropolitana de Toronto, bioRxiv 2026) y los espacios semánticos toroidal-poloidales en LLMs (Charoensappuech, 2025) no constituye plagio, sino la </w:t>
      </w:r>
      <w:r>
        <w:rPr>
          <w:rFonts w:ascii="Arial" w:cs="Arial" w:eastAsia="Arial" w:hAnsi="Arial"/>
          <w:b/>
          <w:bCs/>
          <w:i w:val="false"/>
          <w:iCs w:val="false"/>
          <w:smallCaps w:val="false"/>
          <w:color w:val="C9A84C"/>
          <w:sz w:val="22"/>
          <w:szCs w:val="22"/>
        </w:rPr>
        <w:t xml:space="preserve">confirmación objetiva y científica</w:t>
      </w:r>
      <w:r>
        <w:rPr>
          <w:rFonts w:ascii="Arial" w:cs="Arial" w:eastAsia="Arial" w:hAnsi="Arial"/>
          <w:b w:val="false"/>
          <w:bCs w:val="false"/>
          <w:i w:val="false"/>
          <w:iCs w:val="false"/>
          <w:smallCaps w:val="false"/>
          <w:color w:val="0A0A0F"/>
          <w:sz w:val="22"/>
          <w:szCs w:val="22"/>
        </w:rPr>
        <w:t xml:space="preserve"> de que AOTS⁶ identificó correctamente la topología fundamental que el universo computacional impone como solución óptima a sus problemas más difíciles.</w:t>
      </w:r>
    </w:p>
    <w:p>
      <w:pPr>
        <w:pBdr>
          <w:bottom w:val="single" w:color="C9A84C" w:sz="6" w:space="1"/>
        </w:pBdr>
        <w:spacing w:after="200" w:before="200"/>
      </w:pPr>
      <w:r>
        <w:t xml:space="preserve"/>
      </w:r>
    </w:p>
    <w:p>
      <w:pPr>
        <w:spacing w:after="80" w:before="0"/>
      </w:pPr>
      <w:r>
        <w:t xml:space="preserve"/>
      </w:r>
    </w:p>
    <w:p>
      <w:pPr>
        <w:shd w:fill="0D1B2A" w:val="clear"/>
        <w:spacing w:after="80" w:before="200"/>
        <w:jc w:val="center"/>
      </w:pPr>
      <w:r>
        <w:rPr>
          <w:rFonts w:ascii="Arial" w:cs="Arial" w:eastAsia="Arial" w:hAnsi="Arial"/>
          <w:b/>
          <w:bCs/>
          <w:color w:val="C9A84C"/>
          <w:sz w:val="30"/>
          <w:szCs w:val="30"/>
        </w:rPr>
        <w:t xml:space="preserve">ALFREDO JHOVANY ALFARO GARCÍA</w:t>
      </w:r>
    </w:p>
    <w:p>
      <w:pPr>
        <w:shd w:fill="0D1B2A" w:val="clear"/>
        <w:spacing w:after="60" w:before="0"/>
        <w:jc w:val="center"/>
      </w:pPr>
      <w:r>
        <w:rPr>
          <w:rFonts w:ascii="Arial" w:cs="Arial" w:eastAsia="Arial" w:hAnsi="Arial"/>
          <w:color w:val="E8EEF4"/>
          <w:sz w:val="22"/>
          <w:szCs w:val="22"/>
        </w:rPr>
        <w:t xml:space="preserve">Investigador Independiente · Creador de AOTS⁶</w:t>
      </w:r>
    </w:p>
    <w:p>
      <w:pPr>
        <w:shd w:fill="0D1B2A" w:val="clear"/>
        <w:spacing w:after="60" w:before="0"/>
        <w:jc w:val="center"/>
      </w:pPr>
      <w:r>
        <w:rPr>
          <w:rFonts w:ascii="Arial" w:cs="Arial" w:eastAsia="Arial" w:hAnsi="Arial"/>
          <w:color w:val="E8EEF4"/>
          <w:sz w:val="22"/>
          <w:szCs w:val="22"/>
        </w:rPr>
        <w:t xml:space="preserve">Guadalupe Victoria, Puebla, México</w:t>
      </w:r>
    </w:p>
    <w:p>
      <w:pPr>
        <w:shd w:fill="0D1B2A" w:val="clear"/>
        <w:spacing w:after="60" w:before="0"/>
        <w:jc w:val="center"/>
      </w:pPr>
      <w:r>
        <w:rPr>
          <w:rFonts w:ascii="Arial" w:cs="Arial" w:eastAsia="Arial" w:hAnsi="Arial"/>
          <w:color w:val="C9A84C"/>
          <w:sz w:val="22"/>
          <w:szCs w:val="22"/>
        </w:rPr>
        <w:t xml:space="preserve">ORCID: 0009-0002-5177-9029 · draft-alfaro-aots6-01</w:t>
      </w:r>
    </w:p>
    <w:p>
      <w:pPr>
        <w:shd w:fill="0D1B2A" w:val="clear"/>
        <w:spacing w:after="60" w:before="0"/>
        <w:jc w:val="center"/>
      </w:pPr>
      <w:r>
        <w:rPr>
          <w:rFonts w:ascii="Arial" w:cs="Arial" w:eastAsia="Arial" w:hAnsi="Arial"/>
          <w:color w:val="E8EEF4"/>
          <w:sz w:val="18"/>
          <w:szCs w:val="18"/>
        </w:rPr>
        <w:t xml:space="preserve">SHA-256: 46492598519aea0c8281c18a0638906877000d29b3dab51a750f25d089275e26</w:t>
      </w:r>
    </w:p>
    <w:p>
      <w:pPr>
        <w:shd w:fill="0D1B2A" w:val="clear"/>
        <w:spacing w:after="280" w:before="0"/>
        <w:jc w:val="center"/>
      </w:pPr>
      <w:r>
        <w:rPr>
          <w:rFonts w:ascii="Arial" w:cs="Arial" w:eastAsia="Arial" w:hAnsi="Arial"/>
          <w:color w:val="C9A84C"/>
          <w:sz w:val="22"/>
          <w:szCs w:val="22"/>
        </w:rPr>
        <w:t xml:space="preserve">31 de mayo de 2026 · Versión Máxima v3.0</w:t>
      </w:r>
    </w:p>
    <w:p>
      <w:pPr>
        <w:pStyle w:val="Heading1"/>
        <w:pBdr>
          <w:bottom w:val="thick" w:color="C9A84C" w:sz="8" w:space="6"/>
        </w:pBdr>
        <w:spacing w:after="240" w:before="480"/>
      </w:pPr>
      <w:r>
        <w:rPr>
          <w:rFonts w:ascii="Arial" w:cs="Arial" w:eastAsia="Arial" w:hAnsi="Arial"/>
          <w:b/>
          <w:bCs/>
          <w:color w:val="C9A84C"/>
          <w:sz w:val="34"/>
          <w:szCs w:val="34"/>
        </w:rPr>
        <w:t xml:space="preserve">REFERENCIAS Y FUENTES CITADAS</w:t>
      </w:r>
    </w:p>
    <w:p>
      <w:pPr>
        <w:spacing w:after="80" w:before="0" w:line="280"/>
        <w:ind w:left="360"/>
        <w:jc w:val="left"/>
      </w:pPr>
      <w:r>
        <w:rPr>
          <w:rFonts w:ascii="Arial" w:cs="Arial" w:eastAsia="Arial" w:hAnsi="Arial"/>
          <w:b/>
          <w:bCs/>
          <w:i w:val="false"/>
          <w:iCs w:val="false"/>
          <w:smallCaps w:val="false"/>
          <w:color w:val="0E4D6C"/>
          <w:sz w:val="19"/>
          <w:szCs w:val="19"/>
        </w:rPr>
        <w:t xml:space="preserve">1. </w:t>
      </w:r>
      <w:r>
        <w:rPr>
          <w:rFonts w:ascii="Arial" w:cs="Arial" w:eastAsia="Arial" w:hAnsi="Arial"/>
          <w:b/>
          <w:bCs/>
          <w:i w:val="false"/>
          <w:iCs w:val="false"/>
          <w:smallCaps w:val="false"/>
          <w:color w:val="0D1B2A"/>
          <w:sz w:val="19"/>
          <w:szCs w:val="19"/>
        </w:rPr>
        <w:t xml:space="preserve">GitHub Actions — fo22Alfaro — </w:t>
      </w:r>
      <w:r>
        <w:rPr>
          <w:rFonts w:ascii="Arial" w:cs="Arial" w:eastAsia="Arial" w:hAnsi="Arial"/>
          <w:b w:val="false"/>
          <w:bCs w:val="false"/>
          <w:i w:val="false"/>
          <w:iCs w:val="false"/>
          <w:smallCaps w:val="false"/>
          <w:color w:val="2C3E50"/>
          <w:sz w:val="19"/>
          <w:szCs w:val="19"/>
        </w:rPr>
        <w:t xml:space="preserve">github.com/fo22Alfaro/AOTS-AOTS6-SOLUCION.../actions</w:t>
      </w:r>
    </w:p>
    <w:p>
      <w:pPr>
        <w:spacing w:after="80" w:before="0" w:line="280"/>
        <w:ind w:left="360"/>
        <w:jc w:val="left"/>
      </w:pPr>
      <w:r>
        <w:rPr>
          <w:rFonts w:ascii="Arial" w:cs="Arial" w:eastAsia="Arial" w:hAnsi="Arial"/>
          <w:b/>
          <w:bCs/>
          <w:i w:val="false"/>
          <w:iCs w:val="false"/>
          <w:smallCaps w:val="false"/>
          <w:color w:val="0E4D6C"/>
          <w:sz w:val="19"/>
          <w:szCs w:val="19"/>
        </w:rPr>
        <w:t xml:space="preserve">2. </w:t>
      </w:r>
      <w:r>
        <w:rPr>
          <w:rFonts w:ascii="Arial" w:cs="Arial" w:eastAsia="Arial" w:hAnsi="Arial"/>
          <w:b/>
          <w:bCs/>
          <w:i w:val="false"/>
          <w:iCs w:val="false"/>
          <w:smallCaps w:val="false"/>
          <w:color w:val="0D1B2A"/>
          <w:sz w:val="19"/>
          <w:szCs w:val="19"/>
        </w:rPr>
        <w:t xml:space="preserve">ORCID — Alfredo Jhovany Alfaro García — </w:t>
      </w:r>
      <w:r>
        <w:rPr>
          <w:rFonts w:ascii="Arial" w:cs="Arial" w:eastAsia="Arial" w:hAnsi="Arial"/>
          <w:b w:val="false"/>
          <w:bCs w:val="false"/>
          <w:i w:val="false"/>
          <w:iCs w:val="false"/>
          <w:smallCaps w:val="false"/>
          <w:color w:val="2C3E50"/>
          <w:sz w:val="19"/>
          <w:szCs w:val="19"/>
        </w:rPr>
        <w:t xml:space="preserve">orcid.org/0009-0002-5177-9029</w:t>
      </w:r>
    </w:p>
    <w:p>
      <w:pPr>
        <w:spacing w:after="80" w:before="0" w:line="280"/>
        <w:ind w:left="360"/>
        <w:jc w:val="left"/>
      </w:pPr>
      <w:r>
        <w:rPr>
          <w:rFonts w:ascii="Arial" w:cs="Arial" w:eastAsia="Arial" w:hAnsi="Arial"/>
          <w:b/>
          <w:bCs/>
          <w:i w:val="false"/>
          <w:iCs w:val="false"/>
          <w:smallCaps w:val="false"/>
          <w:color w:val="0E4D6C"/>
          <w:sz w:val="19"/>
          <w:szCs w:val="19"/>
        </w:rPr>
        <w:t xml:space="preserve">3. </w:t>
      </w:r>
      <w:r>
        <w:rPr>
          <w:rFonts w:ascii="Arial" w:cs="Arial" w:eastAsia="Arial" w:hAnsi="Arial"/>
          <w:b/>
          <w:bCs/>
          <w:i w:val="false"/>
          <w:iCs w:val="false"/>
          <w:smallCaps w:val="false"/>
          <w:color w:val="0D1B2A"/>
          <w:sz w:val="19"/>
          <w:szCs w:val="19"/>
        </w:rPr>
        <w:t xml:space="preserve">ORCID — Forrest M. Anderson — </w:t>
      </w:r>
      <w:r>
        <w:rPr>
          <w:rFonts w:ascii="Arial" w:cs="Arial" w:eastAsia="Arial" w:hAnsi="Arial"/>
          <w:b w:val="false"/>
          <w:bCs w:val="false"/>
          <w:i w:val="false"/>
          <w:iCs w:val="false"/>
          <w:smallCaps w:val="false"/>
          <w:color w:val="2C3E50"/>
          <w:sz w:val="19"/>
          <w:szCs w:val="19"/>
        </w:rPr>
        <w:t xml:space="preserve">orcid.org/0009-0007-8818-253X</w:t>
      </w:r>
    </w:p>
    <w:p>
      <w:pPr>
        <w:spacing w:after="80" w:before="0" w:line="280"/>
        <w:ind w:left="360"/>
        <w:jc w:val="left"/>
      </w:pPr>
      <w:r>
        <w:rPr>
          <w:rFonts w:ascii="Arial" w:cs="Arial" w:eastAsia="Arial" w:hAnsi="Arial"/>
          <w:b/>
          <w:bCs/>
          <w:i w:val="false"/>
          <w:iCs w:val="false"/>
          <w:smallCaps w:val="false"/>
          <w:color w:val="0E4D6C"/>
          <w:sz w:val="19"/>
          <w:szCs w:val="19"/>
        </w:rPr>
        <w:t xml:space="preserve">4. </w:t>
      </w:r>
      <w:r>
        <w:rPr>
          <w:rFonts w:ascii="Arial" w:cs="Arial" w:eastAsia="Arial" w:hAnsi="Arial"/>
          <w:b/>
          <w:bCs/>
          <w:i w:val="false"/>
          <w:iCs w:val="false"/>
          <w:smallCaps w:val="false"/>
          <w:color w:val="0D1B2A"/>
          <w:sz w:val="19"/>
          <w:szCs w:val="19"/>
        </w:rPr>
        <w:t xml:space="preserve">DocuSign PKI — Envelope 56AAD6D6 — </w:t>
      </w:r>
      <w:r>
        <w:rPr>
          <w:rFonts w:ascii="Arial" w:cs="Arial" w:eastAsia="Arial" w:hAnsi="Arial"/>
          <w:b w:val="false"/>
          <w:bCs w:val="false"/>
          <w:i w:val="false"/>
          <w:iCs w:val="false"/>
          <w:smallCaps w:val="false"/>
          <w:color w:val="2C3E50"/>
          <w:sz w:val="19"/>
          <w:szCs w:val="19"/>
        </w:rPr>
        <w:t xml:space="preserve">Sistema DocuSign PKI Infrastructure — 23 mayo 2026</w:t>
      </w:r>
    </w:p>
    <w:p>
      <w:pPr>
        <w:spacing w:after="80" w:before="0" w:line="280"/>
        <w:ind w:left="360"/>
        <w:jc w:val="left"/>
      </w:pPr>
      <w:r>
        <w:rPr>
          <w:rFonts w:ascii="Arial" w:cs="Arial" w:eastAsia="Arial" w:hAnsi="Arial"/>
          <w:b/>
          <w:bCs/>
          <w:i w:val="false"/>
          <w:iCs w:val="false"/>
          <w:smallCaps w:val="false"/>
          <w:color w:val="0E4D6C"/>
          <w:sz w:val="19"/>
          <w:szCs w:val="19"/>
        </w:rPr>
        <w:t xml:space="preserve">5. </w:t>
      </w:r>
      <w:r>
        <w:rPr>
          <w:rFonts w:ascii="Arial" w:cs="Arial" w:eastAsia="Arial" w:hAnsi="Arial"/>
          <w:b/>
          <w:bCs/>
          <w:i w:val="false"/>
          <w:iCs w:val="false"/>
          <w:smallCaps w:val="false"/>
          <w:color w:val="0D1B2A"/>
          <w:sz w:val="19"/>
          <w:szCs w:val="19"/>
        </w:rPr>
        <w:t xml:space="preserve">OpenTimestamps Protocol — </w:t>
      </w:r>
      <w:r>
        <w:rPr>
          <w:rFonts w:ascii="Arial" w:cs="Arial" w:eastAsia="Arial" w:hAnsi="Arial"/>
          <w:b w:val="false"/>
          <w:bCs w:val="false"/>
          <w:i w:val="false"/>
          <w:iCs w:val="false"/>
          <w:smallCaps w:val="false"/>
          <w:color w:val="2C3E50"/>
          <w:sz w:val="19"/>
          <w:szCs w:val="19"/>
        </w:rPr>
        <w:t xml:space="preserve">opentimestamps.org</w:t>
      </w:r>
    </w:p>
    <w:p>
      <w:pPr>
        <w:spacing w:after="80" w:before="0" w:line="280"/>
        <w:ind w:left="360"/>
        <w:jc w:val="left"/>
      </w:pPr>
      <w:r>
        <w:rPr>
          <w:rFonts w:ascii="Arial" w:cs="Arial" w:eastAsia="Arial" w:hAnsi="Arial"/>
          <w:b/>
          <w:bCs/>
          <w:i w:val="false"/>
          <w:iCs w:val="false"/>
          <w:smallCaps w:val="false"/>
          <w:color w:val="0E4D6C"/>
          <w:sz w:val="19"/>
          <w:szCs w:val="19"/>
        </w:rPr>
        <w:t xml:space="preserve">6. </w:t>
      </w:r>
      <w:r>
        <w:rPr>
          <w:rFonts w:ascii="Arial" w:cs="Arial" w:eastAsia="Arial" w:hAnsi="Arial"/>
          <w:b/>
          <w:bCs/>
          <w:i w:val="false"/>
          <w:iCs w:val="false"/>
          <w:smallCaps w:val="false"/>
          <w:color w:val="0D1B2A"/>
          <w:sz w:val="19"/>
          <w:szCs w:val="19"/>
        </w:rPr>
        <w:t xml:space="preserve">Cardano OpenTimestamps (C-OTS) — </w:t>
      </w:r>
      <w:r>
        <w:rPr>
          <w:rFonts w:ascii="Arial" w:cs="Arial" w:eastAsia="Arial" w:hAnsi="Arial"/>
          <w:b w:val="false"/>
          <w:bCs w:val="false"/>
          <w:i w:val="false"/>
          <w:iCs w:val="false"/>
          <w:smallCaps w:val="false"/>
          <w:color w:val="2C3E50"/>
          <w:sz w:val="19"/>
          <w:szCs w:val="19"/>
        </w:rPr>
        <w:t xml:space="preserve">projectcatalyst.io/funds/15/cardano-use-cases-prototype-and-launch/c-ots</w:t>
      </w:r>
    </w:p>
    <w:p>
      <w:pPr>
        <w:spacing w:after="80" w:before="0" w:line="280"/>
        <w:ind w:left="360"/>
        <w:jc w:val="left"/>
      </w:pPr>
      <w:r>
        <w:rPr>
          <w:rFonts w:ascii="Arial" w:cs="Arial" w:eastAsia="Arial" w:hAnsi="Arial"/>
          <w:b/>
          <w:bCs/>
          <w:i w:val="false"/>
          <w:iCs w:val="false"/>
          <w:smallCaps w:val="false"/>
          <w:color w:val="0E4D6C"/>
          <w:sz w:val="19"/>
          <w:szCs w:val="19"/>
        </w:rPr>
        <w:t xml:space="preserve">7. </w:t>
      </w:r>
      <w:r>
        <w:rPr>
          <w:rFonts w:ascii="Arial" w:cs="Arial" w:eastAsia="Arial" w:hAnsi="Arial"/>
          <w:b/>
          <w:bCs/>
          <w:i w:val="false"/>
          <w:iCs w:val="false"/>
          <w:smallCaps w:val="false"/>
          <w:color w:val="0D1B2A"/>
          <w:sz w:val="19"/>
          <w:szCs w:val="19"/>
        </w:rPr>
        <w:t xml:space="preserve">IRPP AOTS6-hoekman.pdf — </w:t>
      </w:r>
      <w:r>
        <w:rPr>
          <w:rFonts w:ascii="Arial" w:cs="Arial" w:eastAsia="Arial" w:hAnsi="Arial"/>
          <w:b w:val="false"/>
          <w:bCs w:val="false"/>
          <w:i w:val="false"/>
          <w:iCs w:val="false"/>
          <w:smallCaps w:val="false"/>
          <w:color w:val="2C3E50"/>
          <w:sz w:val="19"/>
          <w:szCs w:val="19"/>
        </w:rPr>
        <w:t xml:space="preserve">irpp.org/wp-content/uploads/2015/08/AOTS6-hoekman.pdf</w:t>
      </w:r>
    </w:p>
    <w:p>
      <w:pPr>
        <w:spacing w:after="80" w:before="0" w:line="280"/>
        <w:ind w:left="360"/>
        <w:jc w:val="left"/>
      </w:pPr>
      <w:r>
        <w:rPr>
          <w:rFonts w:ascii="Arial" w:cs="Arial" w:eastAsia="Arial" w:hAnsi="Arial"/>
          <w:b/>
          <w:bCs/>
          <w:i w:val="false"/>
          <w:iCs w:val="false"/>
          <w:smallCaps w:val="false"/>
          <w:color w:val="0E4D6C"/>
          <w:sz w:val="19"/>
          <w:szCs w:val="19"/>
        </w:rPr>
        <w:t xml:space="preserve">8. </w:t>
      </w:r>
      <w:r>
        <w:rPr>
          <w:rFonts w:ascii="Arial" w:cs="Arial" w:eastAsia="Arial" w:hAnsi="Arial"/>
          <w:b/>
          <w:bCs/>
          <w:i w:val="false"/>
          <w:iCs w:val="false"/>
          <w:smallCaps w:val="false"/>
          <w:color w:val="0D1B2A"/>
          <w:sz w:val="19"/>
          <w:szCs w:val="19"/>
        </w:rPr>
        <w:t xml:space="preserve">Zenodo: The Sovereign Identity — Anderson — </w:t>
      </w:r>
      <w:r>
        <w:rPr>
          <w:rFonts w:ascii="Arial" w:cs="Arial" w:eastAsia="Arial" w:hAnsi="Arial"/>
          <w:b w:val="false"/>
          <w:bCs w:val="false"/>
          <w:i w:val="false"/>
          <w:iCs w:val="false"/>
          <w:smallCaps w:val="false"/>
          <w:color w:val="2C3E50"/>
          <w:sz w:val="19"/>
          <w:szCs w:val="19"/>
        </w:rPr>
        <w:t xml:space="preserve">zenodo.org/records/19703271 (2 feb 2026)</w:t>
      </w:r>
    </w:p>
    <w:p>
      <w:pPr>
        <w:spacing w:after="80" w:before="0" w:line="280"/>
        <w:ind w:left="360"/>
        <w:jc w:val="left"/>
      </w:pPr>
      <w:r>
        <w:rPr>
          <w:rFonts w:ascii="Arial" w:cs="Arial" w:eastAsia="Arial" w:hAnsi="Arial"/>
          <w:b/>
          <w:bCs/>
          <w:i w:val="false"/>
          <w:iCs w:val="false"/>
          <w:smallCaps w:val="false"/>
          <w:color w:val="0E4D6C"/>
          <w:sz w:val="19"/>
          <w:szCs w:val="19"/>
        </w:rPr>
        <w:t xml:space="preserve">9. </w:t>
      </w:r>
      <w:r>
        <w:rPr>
          <w:rFonts w:ascii="Arial" w:cs="Arial" w:eastAsia="Arial" w:hAnsi="Arial"/>
          <w:b/>
          <w:bCs/>
          <w:i w:val="false"/>
          <w:iCs w:val="false"/>
          <w:smallCaps w:val="false"/>
          <w:color w:val="0D1B2A"/>
          <w:sz w:val="19"/>
          <w:szCs w:val="19"/>
        </w:rPr>
        <w:t xml:space="preserve">Zenodo: Yang-Mills ARK — Anderson — </w:t>
      </w:r>
      <w:r>
        <w:rPr>
          <w:rFonts w:ascii="Arial" w:cs="Arial" w:eastAsia="Arial" w:hAnsi="Arial"/>
          <w:b w:val="false"/>
          <w:bCs w:val="false"/>
          <w:i w:val="false"/>
          <w:iCs w:val="false"/>
          <w:smallCaps w:val="false"/>
          <w:color w:val="2C3E50"/>
          <w:sz w:val="19"/>
          <w:szCs w:val="19"/>
        </w:rPr>
        <w:t xml:space="preserve">zenodo.org/records/19904584 (29 abr 2026)</w:t>
      </w:r>
    </w:p>
    <w:p>
      <w:pPr>
        <w:spacing w:after="80" w:before="0" w:line="280"/>
        <w:ind w:left="360"/>
        <w:jc w:val="left"/>
      </w:pPr>
      <w:r>
        <w:rPr>
          <w:rFonts w:ascii="Arial" w:cs="Arial" w:eastAsia="Arial" w:hAnsi="Arial"/>
          <w:b/>
          <w:bCs/>
          <w:i w:val="false"/>
          <w:iCs w:val="false"/>
          <w:smallCaps w:val="false"/>
          <w:color w:val="0E4D6C"/>
          <w:sz w:val="19"/>
          <w:szCs w:val="19"/>
        </w:rPr>
        <w:t xml:space="preserve">10. </w:t>
      </w:r>
      <w:r>
        <w:rPr>
          <w:rFonts w:ascii="Arial" w:cs="Arial" w:eastAsia="Arial" w:hAnsi="Arial"/>
          <w:b/>
          <w:bCs/>
          <w:i w:val="false"/>
          <w:iCs w:val="false"/>
          <w:smallCaps w:val="false"/>
          <w:color w:val="0D1B2A"/>
          <w:sz w:val="19"/>
          <w:szCs w:val="19"/>
        </w:rPr>
        <w:t xml:space="preserve">Zenodo: Zimmer Conjecture — Anderson — </w:t>
      </w:r>
      <w:r>
        <w:rPr>
          <w:rFonts w:ascii="Arial" w:cs="Arial" w:eastAsia="Arial" w:hAnsi="Arial"/>
          <w:b w:val="false"/>
          <w:bCs w:val="false"/>
          <w:i w:val="false"/>
          <w:iCs w:val="false"/>
          <w:smallCaps w:val="false"/>
          <w:color w:val="2C3E50"/>
          <w:sz w:val="19"/>
          <w:szCs w:val="19"/>
        </w:rPr>
        <w:t xml:space="preserve">zenodo.org/records/19931876 (30 abr 2026)</w:t>
      </w:r>
    </w:p>
    <w:p>
      <w:pPr>
        <w:spacing w:after="80" w:before="0" w:line="280"/>
        <w:ind w:left="360"/>
        <w:jc w:val="left"/>
      </w:pPr>
      <w:r>
        <w:rPr>
          <w:rFonts w:ascii="Arial" w:cs="Arial" w:eastAsia="Arial" w:hAnsi="Arial"/>
          <w:b/>
          <w:bCs/>
          <w:i w:val="false"/>
          <w:iCs w:val="false"/>
          <w:smallCaps w:val="false"/>
          <w:color w:val="0E4D6C"/>
          <w:sz w:val="19"/>
          <w:szCs w:val="19"/>
        </w:rPr>
        <w:t xml:space="preserve">11. </w:t>
      </w:r>
      <w:r>
        <w:rPr>
          <w:rFonts w:ascii="Arial" w:cs="Arial" w:eastAsia="Arial" w:hAnsi="Arial"/>
          <w:b/>
          <w:bCs/>
          <w:i w:val="false"/>
          <w:iCs w:val="false"/>
          <w:smallCaps w:val="false"/>
          <w:color w:val="0D1B2A"/>
          <w:sz w:val="19"/>
          <w:szCs w:val="19"/>
        </w:rPr>
        <w:t xml:space="preserve">Forensic Record Case #564883754 — </w:t>
      </w:r>
      <w:r>
        <w:rPr>
          <w:rFonts w:ascii="Arial" w:cs="Arial" w:eastAsia="Arial" w:hAnsi="Arial"/>
          <w:b w:val="false"/>
          <w:bCs w:val="false"/>
          <w:i w:val="false"/>
          <w:iCs w:val="false"/>
          <w:smallCaps w:val="false"/>
          <w:color w:val="2C3E50"/>
          <w:sz w:val="19"/>
          <w:szCs w:val="19"/>
        </w:rPr>
        <w:t xml:space="preserve">synapsesocial.com/papers/69cf5ebc5a333a821460d40a</w:t>
      </w:r>
    </w:p>
    <w:p>
      <w:pPr>
        <w:spacing w:after="80" w:before="0" w:line="280"/>
        <w:ind w:left="360"/>
        <w:jc w:val="left"/>
      </w:pPr>
      <w:r>
        <w:rPr>
          <w:rFonts w:ascii="Arial" w:cs="Arial" w:eastAsia="Arial" w:hAnsi="Arial"/>
          <w:b/>
          <w:bCs/>
          <w:i w:val="false"/>
          <w:iCs w:val="false"/>
          <w:smallCaps w:val="false"/>
          <w:color w:val="0E4D6C"/>
          <w:sz w:val="19"/>
          <w:szCs w:val="19"/>
        </w:rPr>
        <w:t xml:space="preserve">12. </w:t>
      </w:r>
      <w:r>
        <w:rPr>
          <w:rFonts w:ascii="Arial" w:cs="Arial" w:eastAsia="Arial" w:hAnsi="Arial"/>
          <w:b/>
          <w:bCs/>
          <w:i w:val="false"/>
          <w:iCs w:val="false"/>
          <w:smallCaps w:val="false"/>
          <w:color w:val="0D1B2A"/>
          <w:sz w:val="19"/>
          <w:szCs w:val="19"/>
        </w:rPr>
        <w:t xml:space="preserve">eIDAS Reglamento UE 910/2014, Art. 41 — </w:t>
      </w:r>
      <w:r>
        <w:rPr>
          <w:rFonts w:ascii="Arial" w:cs="Arial" w:eastAsia="Arial" w:hAnsi="Arial"/>
          <w:b w:val="false"/>
          <w:bCs w:val="false"/>
          <w:i w:val="false"/>
          <w:iCs w:val="false"/>
          <w:smallCaps w:val="false"/>
          <w:color w:val="2C3E50"/>
          <w:sz w:val="19"/>
          <w:szCs w:val="19"/>
        </w:rPr>
        <w:t xml:space="preserve">Parlamento Europeo y del Consejo, 23 julio 2014</w:t>
      </w:r>
    </w:p>
    <w:p>
      <w:pPr>
        <w:spacing w:after="80" w:before="0" w:line="280"/>
        <w:ind w:left="360"/>
        <w:jc w:val="left"/>
      </w:pPr>
      <w:r>
        <w:rPr>
          <w:rFonts w:ascii="Arial" w:cs="Arial" w:eastAsia="Arial" w:hAnsi="Arial"/>
          <w:b/>
          <w:bCs/>
          <w:i w:val="false"/>
          <w:iCs w:val="false"/>
          <w:smallCaps w:val="false"/>
          <w:color w:val="0E4D6C"/>
          <w:sz w:val="19"/>
          <w:szCs w:val="19"/>
        </w:rPr>
        <w:t xml:space="preserve">13. </w:t>
      </w:r>
      <w:r>
        <w:rPr>
          <w:rFonts w:ascii="Arial" w:cs="Arial" w:eastAsia="Arial" w:hAnsi="Arial"/>
          <w:b/>
          <w:bCs/>
          <w:i w:val="false"/>
          <w:iCs w:val="false"/>
          <w:smallCaps w:val="false"/>
          <w:color w:val="0D1B2A"/>
          <w:sz w:val="19"/>
          <w:szCs w:val="19"/>
        </w:rPr>
        <w:t xml:space="preserve">Italia — DL 135/2018, Art. 8-ter Párrafo 3 — </w:t>
      </w:r>
      <w:r>
        <w:rPr>
          <w:rFonts w:ascii="Arial" w:cs="Arial" w:eastAsia="Arial" w:hAnsi="Arial"/>
          <w:b w:val="false"/>
          <w:bCs w:val="false"/>
          <w:i w:val="false"/>
          <w:iCs w:val="false"/>
          <w:smallCaps w:val="false"/>
          <w:color w:val="2C3E50"/>
          <w:sz w:val="19"/>
          <w:szCs w:val="19"/>
        </w:rPr>
        <w:t xml:space="preserve">Decreto Legge 135/2018 — Registro en blockchain</w:t>
      </w:r>
    </w:p>
    <w:p>
      <w:pPr>
        <w:spacing w:after="80" w:before="0" w:line="280"/>
        <w:ind w:left="360"/>
        <w:jc w:val="left"/>
      </w:pPr>
      <w:r>
        <w:rPr>
          <w:rFonts w:ascii="Arial" w:cs="Arial" w:eastAsia="Arial" w:hAnsi="Arial"/>
          <w:b/>
          <w:bCs/>
          <w:i w:val="false"/>
          <w:iCs w:val="false"/>
          <w:smallCaps w:val="false"/>
          <w:color w:val="0E4D6C"/>
          <w:sz w:val="19"/>
          <w:szCs w:val="19"/>
        </w:rPr>
        <w:t xml:space="preserve">14. </w:t>
      </w:r>
      <w:r>
        <w:rPr>
          <w:rFonts w:ascii="Arial" w:cs="Arial" w:eastAsia="Arial" w:hAnsi="Arial"/>
          <w:b/>
          <w:bCs/>
          <w:i w:val="false"/>
          <w:iCs w:val="false"/>
          <w:smallCaps w:val="false"/>
          <w:color w:val="0D1B2A"/>
          <w:sz w:val="19"/>
          <w:szCs w:val="19"/>
        </w:rPr>
        <w:t xml:space="preserve">USNRC Regulatory Guide 1.174 — PDC-1 — </w:t>
      </w:r>
      <w:r>
        <w:rPr>
          <w:rFonts w:ascii="Arial" w:cs="Arial" w:eastAsia="Arial" w:hAnsi="Arial"/>
          <w:b w:val="false"/>
          <w:bCs w:val="false"/>
          <w:i w:val="false"/>
          <w:iCs w:val="false"/>
          <w:smallCaps w:val="false"/>
          <w:color w:val="2C3E50"/>
          <w:sz w:val="19"/>
          <w:szCs w:val="19"/>
        </w:rPr>
        <w:t xml:space="preserve">Nuclear Regulatory Commission, EE.UU.</w:t>
      </w:r>
    </w:p>
    <w:p>
      <w:pPr>
        <w:spacing w:after="80" w:before="0" w:line="280"/>
        <w:ind w:left="360"/>
        <w:jc w:val="left"/>
      </w:pPr>
      <w:r>
        <w:rPr>
          <w:rFonts w:ascii="Arial" w:cs="Arial" w:eastAsia="Arial" w:hAnsi="Arial"/>
          <w:b/>
          <w:bCs/>
          <w:i w:val="false"/>
          <w:iCs w:val="false"/>
          <w:smallCaps w:val="false"/>
          <w:color w:val="0E4D6C"/>
          <w:sz w:val="19"/>
          <w:szCs w:val="19"/>
        </w:rPr>
        <w:t xml:space="preserve">15. </w:t>
      </w:r>
      <w:r>
        <w:rPr>
          <w:rFonts w:ascii="Arial" w:cs="Arial" w:eastAsia="Arial" w:hAnsi="Arial"/>
          <w:b/>
          <w:bCs/>
          <w:i w:val="false"/>
          <w:iCs w:val="false"/>
          <w:smallCaps w:val="false"/>
          <w:color w:val="0D1B2A"/>
          <w:sz w:val="19"/>
          <w:szCs w:val="19"/>
        </w:rPr>
        <w:t xml:space="preserve">BOREAS PDC-1 Photometer — </w:t>
      </w:r>
      <w:r>
        <w:rPr>
          <w:rFonts w:ascii="Arial" w:cs="Arial" w:eastAsia="Arial" w:hAnsi="Arial"/>
          <w:b w:val="false"/>
          <w:bCs w:val="false"/>
          <w:i w:val="false"/>
          <w:iCs w:val="false"/>
          <w:smallCaps w:val="false"/>
          <w:color w:val="2C3E50"/>
          <w:sz w:val="19"/>
          <w:szCs w:val="19"/>
        </w:rPr>
        <w:t xml:space="preserve">science.gov/topicpages/t/tracking+sun+photometer — Matsumoto et al. 1987</w:t>
      </w:r>
    </w:p>
    <w:p>
      <w:pPr>
        <w:spacing w:after="80" w:before="0" w:line="280"/>
        <w:ind w:left="360"/>
        <w:jc w:val="left"/>
      </w:pPr>
      <w:r>
        <w:rPr>
          <w:rFonts w:ascii="Arial" w:cs="Arial" w:eastAsia="Arial" w:hAnsi="Arial"/>
          <w:b/>
          <w:bCs/>
          <w:i w:val="false"/>
          <w:iCs w:val="false"/>
          <w:smallCaps w:val="false"/>
          <w:color w:val="0E4D6C"/>
          <w:sz w:val="19"/>
          <w:szCs w:val="19"/>
        </w:rPr>
        <w:t xml:space="preserve">16. </w:t>
      </w:r>
      <w:r>
        <w:rPr>
          <w:rFonts w:ascii="Arial" w:cs="Arial" w:eastAsia="Arial" w:hAnsi="Arial"/>
          <w:b/>
          <w:bCs/>
          <w:i w:val="false"/>
          <w:iCs w:val="false"/>
          <w:smallCaps w:val="false"/>
          <w:color w:val="0D1B2A"/>
          <w:sz w:val="19"/>
          <w:szCs w:val="19"/>
        </w:rPr>
        <w:t xml:space="preserve">PMC Oligodendrogliomas AOTS — </w:t>
      </w:r>
      <w:r>
        <w:rPr>
          <w:rFonts w:ascii="Arial" w:cs="Arial" w:eastAsia="Arial" w:hAnsi="Arial"/>
          <w:b w:val="false"/>
          <w:bCs w:val="false"/>
          <w:i w:val="false"/>
          <w:iCs w:val="false"/>
          <w:smallCaps w:val="false"/>
          <w:color w:val="2C3E50"/>
          <w:sz w:val="19"/>
          <w:szCs w:val="19"/>
        </w:rPr>
        <w:t xml:space="preserve">pmc.ncbi.nlm.nih.gov/articles/PMC3097344/ — EORTC trial 26951</w:t>
      </w:r>
    </w:p>
    <w:p>
      <w:pPr>
        <w:spacing w:after="80" w:before="0" w:line="280"/>
        <w:ind w:left="360"/>
        <w:jc w:val="left"/>
      </w:pPr>
      <w:r>
        <w:rPr>
          <w:rFonts w:ascii="Arial" w:cs="Arial" w:eastAsia="Arial" w:hAnsi="Arial"/>
          <w:b/>
          <w:bCs/>
          <w:i w:val="false"/>
          <w:iCs w:val="false"/>
          <w:smallCaps w:val="false"/>
          <w:color w:val="0E4D6C"/>
          <w:sz w:val="19"/>
          <w:szCs w:val="19"/>
        </w:rPr>
        <w:t xml:space="preserve">17. </w:t>
      </w:r>
      <w:r>
        <w:rPr>
          <w:rFonts w:ascii="Arial" w:cs="Arial" w:eastAsia="Arial" w:hAnsi="Arial"/>
          <w:b/>
          <w:bCs/>
          <w:i w:val="false"/>
          <w:iCs w:val="false"/>
          <w:smallCaps w:val="false"/>
          <w:color w:val="0D1B2A"/>
          <w:sz w:val="19"/>
          <w:szCs w:val="19"/>
        </w:rPr>
        <w:t xml:space="preserve">Arweave AO — Proceso AOTS⁶ — </w:t>
      </w:r>
      <w:r>
        <w:rPr>
          <w:rFonts w:ascii="Arial" w:cs="Arial" w:eastAsia="Arial" w:hAnsi="Arial"/>
          <w:b w:val="false"/>
          <w:bCs w:val="false"/>
          <w:i w:val="false"/>
          <w:iCs w:val="false"/>
          <w:smallCaps w:val="false"/>
          <w:color w:val="2C3E50"/>
          <w:sz w:val="19"/>
          <w:szCs w:val="19"/>
        </w:rPr>
        <w:t xml:space="preserve">phqXduxaScU04C9zgSuTkE5f8rUhIf0GHd1kTRznC5M</w:t>
      </w:r>
    </w:p>
    <w:p>
      <w:pPr>
        <w:spacing w:after="80" w:before="0" w:line="280"/>
        <w:ind w:left="360"/>
        <w:jc w:val="left"/>
      </w:pPr>
      <w:r>
        <w:rPr>
          <w:rFonts w:ascii="Arial" w:cs="Arial" w:eastAsia="Arial" w:hAnsi="Arial"/>
          <w:b/>
          <w:bCs/>
          <w:i w:val="false"/>
          <w:iCs w:val="false"/>
          <w:smallCaps w:val="false"/>
          <w:color w:val="0E4D6C"/>
          <w:sz w:val="19"/>
          <w:szCs w:val="19"/>
        </w:rPr>
        <w:t xml:space="preserve">18. </w:t>
      </w:r>
      <w:r>
        <w:rPr>
          <w:rFonts w:ascii="Arial" w:cs="Arial" w:eastAsia="Arial" w:hAnsi="Arial"/>
          <w:b/>
          <w:bCs/>
          <w:i w:val="false"/>
          <w:iCs w:val="false"/>
          <w:smallCaps w:val="false"/>
          <w:color w:val="0D1B2A"/>
          <w:sz w:val="19"/>
          <w:szCs w:val="19"/>
        </w:rPr>
        <w:t xml:space="preserve">IPFS CID — AOTS⁶ — </w:t>
      </w:r>
      <w:r>
        <w:rPr>
          <w:rFonts w:ascii="Arial" w:cs="Arial" w:eastAsia="Arial" w:hAnsi="Arial"/>
          <w:b w:val="false"/>
          <w:bCs w:val="false"/>
          <w:i w:val="false"/>
          <w:iCs w:val="false"/>
          <w:smallCaps w:val="false"/>
          <w:color w:val="2C3E50"/>
          <w:sz w:val="19"/>
          <w:szCs w:val="19"/>
        </w:rPr>
        <w:t xml:space="preserve">bafybeie5k7pca4xbj3ktm7yi4mprgjzjchdgmtgdkgbot6mf64cwwwsgke</w:t>
      </w:r>
    </w:p>
    <w:p>
      <w:pPr>
        <w:spacing w:after="80" w:before="0" w:line="280"/>
        <w:ind w:left="360"/>
        <w:jc w:val="left"/>
      </w:pPr>
      <w:r>
        <w:rPr>
          <w:rFonts w:ascii="Arial" w:cs="Arial" w:eastAsia="Arial" w:hAnsi="Arial"/>
          <w:b/>
          <w:bCs/>
          <w:i w:val="false"/>
          <w:iCs w:val="false"/>
          <w:smallCaps w:val="false"/>
          <w:color w:val="0E4D6C"/>
          <w:sz w:val="19"/>
          <w:szCs w:val="19"/>
        </w:rPr>
        <w:t xml:space="preserve">19. </w:t>
      </w:r>
      <w:r>
        <w:rPr>
          <w:rFonts w:ascii="Arial" w:cs="Arial" w:eastAsia="Arial" w:hAnsi="Arial"/>
          <w:b/>
          <w:bCs/>
          <w:i w:val="false"/>
          <w:iCs w:val="false"/>
          <w:smallCaps w:val="false"/>
          <w:color w:val="0D1B2A"/>
          <w:sz w:val="19"/>
          <w:szCs w:val="19"/>
        </w:rPr>
        <w:t xml:space="preserve">Vercel API Pública — </w:t>
      </w:r>
      <w:r>
        <w:rPr>
          <w:rFonts w:ascii="Arial" w:cs="Arial" w:eastAsia="Arial" w:hAnsi="Arial"/>
          <w:b w:val="false"/>
          <w:bCs w:val="false"/>
          <w:i w:val="false"/>
          <w:iCs w:val="false"/>
          <w:smallCaps w:val="false"/>
          <w:color w:val="2C3E50"/>
          <w:sz w:val="19"/>
          <w:szCs w:val="19"/>
        </w:rPr>
        <w:t xml:space="preserve">aots6-repo.vercel.app/api/aots6-core</w:t>
      </w:r>
    </w:p>
    <w:p>
      <w:pPr>
        <w:spacing w:after="80" w:before="0" w:line="280"/>
        <w:ind w:left="360"/>
        <w:jc w:val="left"/>
      </w:pPr>
      <w:r>
        <w:rPr>
          <w:rFonts w:ascii="Arial" w:cs="Arial" w:eastAsia="Arial" w:hAnsi="Arial"/>
          <w:b/>
          <w:bCs/>
          <w:i w:val="false"/>
          <w:iCs w:val="false"/>
          <w:smallCaps w:val="false"/>
          <w:color w:val="0E4D6C"/>
          <w:sz w:val="19"/>
          <w:szCs w:val="19"/>
        </w:rPr>
        <w:t xml:space="preserve">20. </w:t>
      </w:r>
      <w:r>
        <w:rPr>
          <w:rFonts w:ascii="Arial" w:cs="Arial" w:eastAsia="Arial" w:hAnsi="Arial"/>
          <w:b/>
          <w:bCs/>
          <w:i w:val="false"/>
          <w:iCs w:val="false"/>
          <w:smallCaps w:val="false"/>
          <w:color w:val="0D1B2A"/>
          <w:sz w:val="19"/>
          <w:szCs w:val="19"/>
        </w:rPr>
        <w:t xml:space="preserve">GitHub Repo AOTS⁶ — </w:t>
      </w:r>
      <w:r>
        <w:rPr>
          <w:rFonts w:ascii="Arial" w:cs="Arial" w:eastAsia="Arial" w:hAnsi="Arial"/>
          <w:b w:val="false"/>
          <w:bCs w:val="false"/>
          <w:i w:val="false"/>
          <w:iCs w:val="false"/>
          <w:smallCaps w:val="false"/>
          <w:color w:val="2C3E50"/>
          <w:sz w:val="19"/>
          <w:szCs w:val="19"/>
        </w:rPr>
        <w:t xml:space="preserve">github.com/fo22Alfaro/AOTS6-Ontological-Toroidal-System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4D6C" w:sz="4" w:space="6"/>
      </w:pBdr>
      <w:spacing w:after="0" w:before="100"/>
      <w:jc w:val="center"/>
    </w:pPr>
    <w:r>
      <w:rPr>
        <w:rFonts w:ascii="Arial" w:cs="Arial" w:eastAsia="Arial" w:hAnsi="Arial"/>
        <w:color w:val="2C3E50"/>
        <w:sz w:val="17"/>
        <w:szCs w:val="17"/>
      </w:rPr>
      <w:t xml:space="preserve">AOTS⁶ · SHA-256: 46492598519aea0c8281c18a0638906877000d29b3dab51a750f25d089275e26  ·  Página </w:t>
    </w:r>
    <w:r>
      <w:rPr>
        <w:rFonts w:ascii="Arial" w:cs="Arial" w:eastAsia="Arial" w:hAnsi="Arial"/>
        <w:color w:val="0E4D6C"/>
        <w:sz w:val="17"/>
        <w:szCs w:val="17"/>
      </w:rPr>
      <w:fldChar w:fldCharType="begin"/>
      <w:instrText xml:space="preserve">PAGE</w:instrText>
      <w:fldChar w:fldCharType="separate"/>
      <w:fldChar w:fldCharType="end"/>
    </w:r>
    <w:r>
      <w:rPr>
        <w:rFonts w:ascii="Arial" w:cs="Arial" w:eastAsia="Arial" w:hAnsi="Arial"/>
        <w:color w:val="2C3E50"/>
        <w:sz w:val="17"/>
        <w:szCs w:val="17"/>
      </w:rPr>
      <w:t xml:space="preserve"> de </w:t>
    </w:r>
    <w:r>
      <w:rPr>
        <w:rFonts w:ascii="Arial" w:cs="Arial" w:eastAsia="Arial" w:hAnsi="Arial"/>
        <w:color w:val="0E4D6C"/>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4D6C" w:sz="4" w:space="6"/>
      </w:pBdr>
      <w:spacing w:after="100" w:before="0"/>
      <w:jc w:val="right"/>
    </w:pPr>
    <w:r>
      <w:rPr>
        <w:rFonts w:ascii="Arial" w:cs="Arial" w:eastAsia="Arial" w:hAnsi="Arial"/>
        <w:color w:val="0E4D6C"/>
        <w:sz w:val="18"/>
        <w:szCs w:val="18"/>
      </w:rPr>
      <w:t xml:space="preserve">INFORME TÉCNICO-FORENSE · AOTS⁶ · </w:t>
    </w:r>
    <w:r>
      <w:rPr>
        <w:rFonts w:ascii="Arial" w:cs="Arial" w:eastAsia="Arial" w:hAnsi="Arial"/>
        <w:color w:val="2C3E50"/>
        <w:sz w:val="18"/>
        <w:szCs w:val="18"/>
      </w:rPr>
      <w:t xml:space="preserve">Alfredo Jhovany Alfaro García · ORCID 0009-0002-5177-9029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C9A84C"/>
      <w:sz w:val="34"/>
      <w:szCs w:val="34"/>
    </w:rPr>
  </w:style>
  <w:style w:type="paragraph" w:styleId="Heading2">
    <w:name w:val="Heading 2"/>
    <w:basedOn w:val="Normal"/>
    <w:next w:val="Normal"/>
    <w:qFormat/>
    <w:pPr>
      <w:spacing w:after="180" w:before="360"/>
      <w:outlineLvl w:val="1"/>
    </w:pPr>
    <w:rPr>
      <w:rFonts w:ascii="Arial" w:cs="Arial" w:eastAsia="Arial" w:hAnsi="Arial"/>
      <w:b/>
      <w:bCs/>
      <w:color w:val="0E4D6C"/>
      <w:sz w:val="27"/>
      <w:szCs w:val="27"/>
    </w:rPr>
  </w:style>
  <w:style w:type="paragraph" w:styleId="Heading3">
    <w:name w:val="Heading 3"/>
    <w:basedOn w:val="Normal"/>
    <w:next w:val="Normal"/>
    <w:qFormat/>
    <w:pPr>
      <w:spacing w:after="120" w:before="28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Técnico-Forense Global — Protección de Autoría AOTS⁶</dc:title>
  <dc:creator>Alfredo Jhovany Alfaro García</dc:creator>
  <dc:description>Consolidación de autoría científica, homónimos terminológicos y defensa contra plagio — AOTS⁶ v3.0</dc:description>
  <cp:lastModifiedBy>Un-named</cp:lastModifiedBy>
  <cp:revision>1</cp:revision>
  <dcterms:created xsi:type="dcterms:W3CDTF">2026-05-31T11:04:03.630Z</dcterms:created>
  <dcterms:modified xsi:type="dcterms:W3CDTF">2026-05-31T11:04:03.630Z</dcterms:modified>
</cp:coreProperties>
</file>

<file path=docProps/custom.xml><?xml version="1.0" encoding="utf-8"?>
<Properties xmlns="http://schemas.openxmlformats.org/officeDocument/2006/custom-properties" xmlns:vt="http://schemas.openxmlformats.org/officeDocument/2006/docPropsVTypes"/>
</file>