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AWS Certified Solutions Architect – Professional (SAP-C02) 답안지</w:t>
      </w:r>
    </w:p>
    <w:p>
      <w:pPr>
        <w:jc w:val="center"/>
      </w:pPr>
      <w:r>
        <w:rPr>
          <w:color w:val="555555"/>
          <w:sz w:val="26"/>
        </w:rPr>
        <w:t>전체 301문항 정답 목록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1: 조직 복잡성을 위한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</w:tbl>
    <w:p/>
    <w:p>
      <w:pPr>
        <w:pStyle w:val="Heading1"/>
      </w:pPr>
      <w:r>
        <w:rPr>
          <w:color w:val="1F3A5F"/>
        </w:rPr>
        <w:t>Domain 2: 신규 솔루션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F3A5F"/>
        </w:rPr>
        <w:t>Domain 3: 기존 솔루션의 지속적 개선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</w:tbl>
    <w:p/>
    <w:p>
      <w:pPr>
        <w:pStyle w:val="Heading1"/>
      </w:pPr>
      <w:r>
        <w:rPr>
          <w:color w:val="1F3A5F"/>
        </w:rPr>
        <w:t>Domain 4: 워크로드 마이그레이션 및 현대화 가속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