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6202A"/>
          <w:sz w:val="40"/>
          <w:szCs w:val="40"/>
        </w:rPr>
        <w:t xml:space="preserve">TASK-17: Start Here Onboarding Hub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4A5A64"/>
          <w:sz w:val="17"/>
          <w:szCs w:val="17"/>
        </w:rPr>
        <w:t xml:space="preserve">Content draft. Redbelly DAO Community Task Board. Brand kit: Kinetic Consensus, redbelly-dao-taskboard.vercel.app/brand. Prepared for Lovable build hand-off.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B3272A"/>
          <w:sz w:val="30"/>
          <w:szCs w:val="30"/>
        </w:rPr>
        <w:t xml:space="preserve">KYC</w:t>
      </w:r>
    </w:p>
    <w:p>
      <w:pPr>
        <w:spacing w:after="160" w:line="32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KYC is required for native RBNT and mainnet activity: transactions, staking, and governance. It is not required to hold or trade wrapped RBNT on other chains.</w:t>
      </w:r>
    </w:p>
    <w:p>
      <w:pPr>
        <w:spacing w:after="160" w:line="32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Redbelly gates its own Layer 1 behind identity verification through the Redbelly Access portal. Wrapped RBNT on Ethereum or other chains is a standard ERC-20 with no Redbelly-side identity check.</w:t>
      </w:r>
    </w:p>
    <w:p>
      <w:pPr>
        <w:spacing w:after="160" w:line="32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One verified identity can activate up to 10 wallets. Most submissions are approved in about 3 to 5 minutes; submissions needing manual review can take longer.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8A6D00"/>
          <w:sz w:val="17"/>
          <w:szCs w:val="17"/>
        </w:rPr>
        <w:t xml:space="preserve">MOD-VERIFIED, DISCORD, NO PUBLISHED DOC: the 10-wallet limit and typical approval time.</w:t>
      </w:r>
    </w:p>
    <w:p>
      <w:pPr>
        <w:spacing w:after="100" w:before="40"/>
      </w:pPr>
      <w:r>
        <w:rPr>
          <w:rFonts w:ascii="Calibri" w:cs="Calibri" w:eastAsia="Calibri" w:hAnsi="Calibri"/>
          <w:i/>
          <w:iCs/>
          <w:color w:val="4A5A64"/>
          <w:sz w:val="17"/>
          <w:szCs w:val="17"/>
        </w:rPr>
        <w:t xml:space="preserve">Source: Redbelly Individual Onboarding SDK overview, docs.redbelly.network.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6202A"/>
          <w:sz w:val="24"/>
          <w:szCs w:val="24"/>
        </w:rPr>
        <w:t xml:space="preserve">Regional restrictions</w:t>
      </w:r>
    </w:p>
    <w:p>
      <w:pPr>
        <w:spacing w:after="160" w:line="32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Eighteen jurisdictions are currently restricted from accessing the Redbelly Network platform: Afghanistan, Central African Republic, North Korea, Democratic Republic of the Congo, Guinea-Bissau, Iran, Iraq, Lebanon, Libya, Myanmar, Russia, Somalia, South Sudan, Sudan, Syria, Ukraine, Yemen, and Zimbabwe. Anyone outside this list can proceed with KYC and mainnet access. Anyone inside it cannot, regardless of wallet or exchange used.</w:t>
      </w:r>
    </w:p>
    <w:p>
      <w:pPr>
        <w:spacing w:after="100" w:before="40"/>
      </w:pPr>
      <w:r>
        <w:rPr>
          <w:rFonts w:ascii="Calibri" w:cs="Calibri" w:eastAsia="Calibri" w:hAnsi="Calibri"/>
          <w:i/>
          <w:iCs/>
          <w:color w:val="4A5A64"/>
          <w:sz w:val="17"/>
          <w:szCs w:val="17"/>
        </w:rPr>
        <w:t xml:space="preserve">Source: Redbelly Network Terms and Conditions, Clause 15, redbelly.network/terms-and-conditions.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B3272A"/>
          <w:sz w:val="30"/>
          <w:szCs w:val="30"/>
        </w:rPr>
        <w:t xml:space="preserve">Network setup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6202A"/>
          <w:sz w:val="24"/>
          <w:szCs w:val="24"/>
        </w:rPr>
        <w:t xml:space="preserve">Mainnet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tcBorders>
              <w:top w:val="single" w:color="D7DCE0" w:sz="4"/>
              <w:left w:val="none"/>
              <w:bottom w:val="single" w:color="D7DCE0" w:sz="4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02A"/>
                <w:sz w:val="19"/>
                <w:szCs w:val="19"/>
              </w:rPr>
              <w:t xml:space="preserve">Chain ID</w:t>
            </w:r>
          </w:p>
        </w:tc>
        <w:tc>
          <w:tcPr>
            <w:tcW w:type="dxa" w:w="6800"/>
            <w:tcBorders>
              <w:top w:val="single" w:color="D7DCE0" w:sz="4"/>
              <w:left w:val="none"/>
              <w:bottom w:val="single" w:color="D7DCE0" w:sz="4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6202A"/>
                <w:sz w:val="19"/>
                <w:szCs w:val="19"/>
              </w:rPr>
              <w:t xml:space="preserve">151</w:t>
            </w:r>
          </w:p>
        </w:tc>
      </w:tr>
      <w:tr>
        <w:tc>
          <w:tcPr>
            <w:tcW w:type="dxa" w:w="3000"/>
            <w:tcBorders>
              <w:top w:val="single" w:color="D7DCE0" w:sz="4"/>
              <w:left w:val="none"/>
              <w:bottom w:val="single" w:color="D7DCE0" w:sz="4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02A"/>
                <w:sz w:val="19"/>
                <w:szCs w:val="19"/>
              </w:rPr>
              <w:t xml:space="preserve">Currency symbol</w:t>
            </w:r>
          </w:p>
        </w:tc>
        <w:tc>
          <w:tcPr>
            <w:tcW w:type="dxa" w:w="6800"/>
            <w:tcBorders>
              <w:top w:val="single" w:color="D7DCE0" w:sz="4"/>
              <w:left w:val="none"/>
              <w:bottom w:val="single" w:color="D7DCE0" w:sz="4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6202A"/>
                <w:sz w:val="19"/>
                <w:szCs w:val="19"/>
              </w:rPr>
              <w:t xml:space="preserve">RBNT (18 decimals)</w:t>
            </w:r>
          </w:p>
        </w:tc>
      </w:tr>
      <w:tr>
        <w:tc>
          <w:tcPr>
            <w:tcW w:type="dxa" w:w="3000"/>
            <w:tcBorders>
              <w:top w:val="single" w:color="D7DCE0" w:sz="4"/>
              <w:left w:val="none"/>
              <w:bottom w:val="single" w:color="D7DCE0" w:sz="4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02A"/>
                <w:sz w:val="19"/>
                <w:szCs w:val="19"/>
              </w:rPr>
              <w:t xml:space="preserve">RPC URL</w:t>
            </w:r>
          </w:p>
        </w:tc>
        <w:tc>
          <w:tcPr>
            <w:tcW w:type="dxa" w:w="6800"/>
            <w:tcBorders>
              <w:top w:val="single" w:color="D7DCE0" w:sz="4"/>
              <w:left w:val="none"/>
              <w:bottom w:val="single" w:color="D7DCE0" w:sz="4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6202A"/>
                <w:sz w:val="19"/>
                <w:szCs w:val="19"/>
              </w:rPr>
              <w:t xml:space="preserve">https://governors.mainnet.redbelly.network</w:t>
            </w:r>
          </w:p>
        </w:tc>
      </w:tr>
      <w:tr>
        <w:tc>
          <w:tcPr>
            <w:tcW w:type="dxa" w:w="3000"/>
            <w:tcBorders>
              <w:top w:val="single" w:color="D7DCE0" w:sz="4"/>
              <w:left w:val="none"/>
              <w:bottom w:val="single" w:color="D7DCE0" w:sz="4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02A"/>
                <w:sz w:val="19"/>
                <w:szCs w:val="19"/>
              </w:rPr>
              <w:t xml:space="preserve">Block explorer</w:t>
            </w:r>
          </w:p>
        </w:tc>
        <w:tc>
          <w:tcPr>
            <w:tcW w:type="dxa" w:w="6800"/>
            <w:tcBorders>
              <w:top w:val="single" w:color="D7DCE0" w:sz="4"/>
              <w:left w:val="none"/>
              <w:bottom w:val="single" w:color="D7DCE0" w:sz="4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6202A"/>
                <w:sz w:val="19"/>
                <w:szCs w:val="19"/>
              </w:rPr>
              <w:t xml:space="preserve">https://redbelly.routescan.io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6202A"/>
          <w:sz w:val="24"/>
          <w:szCs w:val="24"/>
        </w:rPr>
        <w:t xml:space="preserve">Testnet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tcBorders>
              <w:top w:val="single" w:color="D7DCE0" w:sz="4"/>
              <w:left w:val="none"/>
              <w:bottom w:val="single" w:color="D7DCE0" w:sz="4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02A"/>
                <w:sz w:val="19"/>
                <w:szCs w:val="19"/>
              </w:rPr>
              <w:t xml:space="preserve">Chain ID</w:t>
            </w:r>
          </w:p>
        </w:tc>
        <w:tc>
          <w:tcPr>
            <w:tcW w:type="dxa" w:w="6800"/>
            <w:tcBorders>
              <w:top w:val="single" w:color="D7DCE0" w:sz="4"/>
              <w:left w:val="none"/>
              <w:bottom w:val="single" w:color="D7DCE0" w:sz="4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6202A"/>
                <w:sz w:val="19"/>
                <w:szCs w:val="19"/>
              </w:rPr>
              <w:t xml:space="preserve">153</w:t>
            </w:r>
          </w:p>
        </w:tc>
      </w:tr>
      <w:tr>
        <w:tc>
          <w:tcPr>
            <w:tcW w:type="dxa" w:w="3000"/>
            <w:tcBorders>
              <w:top w:val="single" w:color="D7DCE0" w:sz="4"/>
              <w:left w:val="none"/>
              <w:bottom w:val="single" w:color="D7DCE0" w:sz="4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02A"/>
                <w:sz w:val="19"/>
                <w:szCs w:val="19"/>
              </w:rPr>
              <w:t xml:space="preserve">Currency symbol</w:t>
            </w:r>
          </w:p>
        </w:tc>
        <w:tc>
          <w:tcPr>
            <w:tcW w:type="dxa" w:w="6800"/>
            <w:tcBorders>
              <w:top w:val="single" w:color="D7DCE0" w:sz="4"/>
              <w:left w:val="none"/>
              <w:bottom w:val="single" w:color="D7DCE0" w:sz="4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6202A"/>
                <w:sz w:val="19"/>
                <w:szCs w:val="19"/>
              </w:rPr>
              <w:t xml:space="preserve">RBNT (18 decimals)</w:t>
            </w:r>
          </w:p>
        </w:tc>
      </w:tr>
      <w:tr>
        <w:tc>
          <w:tcPr>
            <w:tcW w:type="dxa" w:w="3000"/>
            <w:tcBorders>
              <w:top w:val="single" w:color="D7DCE0" w:sz="4"/>
              <w:left w:val="none"/>
              <w:bottom w:val="single" w:color="D7DCE0" w:sz="4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02A"/>
                <w:sz w:val="19"/>
                <w:szCs w:val="19"/>
              </w:rPr>
              <w:t xml:space="preserve">RPC URL</w:t>
            </w:r>
          </w:p>
        </w:tc>
        <w:tc>
          <w:tcPr>
            <w:tcW w:type="dxa" w:w="6800"/>
            <w:tcBorders>
              <w:top w:val="single" w:color="D7DCE0" w:sz="4"/>
              <w:left w:val="none"/>
              <w:bottom w:val="single" w:color="D7DCE0" w:sz="4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6202A"/>
                <w:sz w:val="19"/>
                <w:szCs w:val="19"/>
              </w:rPr>
              <w:t xml:space="preserve">https://governors.testnet.redbelly.network</w:t>
            </w:r>
          </w:p>
        </w:tc>
      </w:tr>
      <w:tr>
        <w:tc>
          <w:tcPr>
            <w:tcW w:type="dxa" w:w="3000"/>
            <w:tcBorders>
              <w:top w:val="single" w:color="D7DCE0" w:sz="4"/>
              <w:left w:val="none"/>
              <w:bottom w:val="single" w:color="D7DCE0" w:sz="4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02A"/>
                <w:sz w:val="19"/>
                <w:szCs w:val="19"/>
              </w:rPr>
              <w:t xml:space="preserve">Block explorer</w:t>
            </w:r>
          </w:p>
        </w:tc>
        <w:tc>
          <w:tcPr>
            <w:tcW w:type="dxa" w:w="6800"/>
            <w:tcBorders>
              <w:top w:val="single" w:color="D7DCE0" w:sz="4"/>
              <w:left w:val="none"/>
              <w:bottom w:val="single" w:color="D7DCE0" w:sz="4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6202A"/>
                <w:sz w:val="19"/>
                <w:szCs w:val="19"/>
              </w:rPr>
              <w:t xml:space="preserve">https://redbelly.testnet.routescan.io</w:t>
            </w:r>
          </w:p>
        </w:tc>
      </w:tr>
    </w:tbl>
    <w:p>
      <w:pPr>
        <w:spacing w:after="100" w:before="200"/>
      </w:pPr>
    </w:p>
    <w:p>
      <w:pPr>
        <w:spacing w:after="160" w:line="32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Mainnet and testnet never share a field. Chain ID, RPC, and explorer are each unique to their own network.</w:t>
      </w:r>
    </w:p>
    <w:p>
      <w:pPr>
        <w:spacing w:after="100" w:before="40"/>
      </w:pPr>
      <w:r>
        <w:rPr>
          <w:rFonts w:ascii="Calibri" w:cs="Calibri" w:eastAsia="Calibri" w:hAnsi="Calibri"/>
          <w:i/>
          <w:iCs/>
          <w:color w:val="4A5A64"/>
          <w:sz w:val="17"/>
          <w:szCs w:val="17"/>
        </w:rPr>
        <w:t xml:space="preserve">Source: chainlist.org/chain/151, chainlist.org/chain/153, and the ethereum-lists/chains repository, cross-checked against a live call to the testnet RPC endpoint. Two testnet explorer URLs are in circulation; this draft uses the more recently updated one (redbelly.testnet.routescan.io). Confirm before publish.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B3272A"/>
          <w:sz w:val="30"/>
          <w:szCs w:val="30"/>
        </w:rPr>
        <w:t xml:space="preserve">Zero-value wallet balance explainer</w:t>
      </w:r>
    </w:p>
    <w:p>
      <w:pPr>
        <w:spacing w:after="160" w:line="32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This is uncommon, and when it happens it is almost always about wRBNT (wrapped RBNT), not native RBNT. Native RBNT is the network's gas token and does not need a contract address added to display correctly. wRBNT does.</w:t>
      </w:r>
    </w:p>
    <w:p>
      <w:pPr>
        <w:spacing w:after="160" w:line="32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If your wRBNT balance shows as zero, check in this order: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Contract address: confirm the wRBNT contract address is added correctly in your wallet. A missing or wrong contract address is the most common cause of a zero display.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Try another wallet: if it still shows zero, check the same address in a different wallet extension, for example Rabby. If the balance appears there, the issue is with the first wallet's display, not your funds.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Check the block explorer: if it is still not showing, look up your wallet address directly on Routescan. If the balance is there, your funds are safe and the discrepancy is on the wallet's display side only.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Check the source transaction: if the balance genuinely is not showing anywhere, including the explorer, confirm the original transfer or bridge actually executed successfully.</w:t>
      </w:r>
    </w:p>
    <w:p>
      <w:pPr>
        <w:spacing w:after="160" w:line="32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A zero balance in your wallet does not mean lost funds. In almost all cases the tokens are on-chain and visible on the explorer. The wallet interface simply is not recognizing or displaying them yet.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8A6D00"/>
          <w:sz w:val="17"/>
          <w:szCs w:val="17"/>
        </w:rPr>
        <w:t xml:space="preserve">MOD-VERIFIED, DISCORD, NO PUBLISHED DOC: this entire explainer.</w:t>
      </w:r>
    </w:p>
    <w:p>
      <w:pPr>
        <w:spacing w:after="100" w:before="40"/>
      </w:pPr>
      <w:r>
        <w:rPr>
          <w:rFonts w:ascii="Calibri" w:cs="Calibri" w:eastAsia="Calibri" w:hAnsi="Calibri"/>
          <w:i/>
          <w:iCs/>
          <w:color w:val="4A5A64"/>
          <w:sz w:val="17"/>
          <w:szCs w:val="17"/>
        </w:rPr>
        <w:t xml:space="preserve">Source: contributor's own troubleshooting experience with wRBNT display issues. Not published in official Redbelly documentation.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B3272A"/>
          <w:sz w:val="30"/>
          <w:szCs w:val="30"/>
        </w:rPr>
        <w:t xml:space="preserve">Where to buy and trade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6202A"/>
          <w:sz w:val="24"/>
          <w:szCs w:val="24"/>
        </w:rPr>
        <w:t xml:space="preserve">Centralized exchanges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MEXC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Gate.io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WhiteBit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BYDFi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6202A"/>
          <w:sz w:val="24"/>
          <w:szCs w:val="24"/>
        </w:rPr>
        <w:t xml:space="preserve">Decentralized exchanges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Ethereum: 1inch, OKX DEX, and Bitget Web3, swapping against the RBNT contract on Ethereum.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Base: KyberSwap, 1inch, OKX DEX, and Bitget Web3.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Solana: Raydium.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Redbelly native: RedDex, swapping directly on-chain against native RBNT.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6202A"/>
          <w:sz w:val="24"/>
          <w:szCs w:val="24"/>
        </w:rPr>
        <w:t xml:space="preserve">Bridges</w:t>
      </w:r>
    </w:p>
    <w:p>
      <w:pPr>
        <w:spacing w:after="160" w:line="32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To move RBNT between chains: Lucid Labs Bridge, or the RedDex Bridge.</w:t>
      </w:r>
    </w:p>
    <w:p>
      <w:pPr>
        <w:spacing w:after="160" w:line="32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Native RBNT and wrapped RBNT are separate assets on different chains. Check which one a venue lists before trading.</w:t>
      </w:r>
    </w:p>
    <w:p>
      <w:pPr>
        <w:spacing w:after="100" w:before="40"/>
      </w:pPr>
      <w:r>
        <w:rPr>
          <w:rFonts w:ascii="Calibri" w:cs="Calibri" w:eastAsia="Calibri" w:hAnsi="Calibri"/>
          <w:i/>
          <w:iCs/>
          <w:color w:val="4A5A64"/>
          <w:sz w:val="17"/>
          <w:szCs w:val="17"/>
        </w:rPr>
        <w:t xml:space="preserve">Source: exchange and DEX listings and contract addresses cross-checked against the venues' own pages.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B3272A"/>
          <w:sz w:val="30"/>
          <w:szCs w:val="30"/>
        </w:rPr>
        <w:t xml:space="preserve">Staking basics</w:t>
      </w:r>
    </w:p>
    <w:p>
      <w:pPr>
        <w:spacing w:after="160" w:line="32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RBNT can be staked to consensus or storage nodes to help secure the network and earn rewards. Staking is a mainnet action and requires KYC, the same as any other native transaction.</w:t>
      </w:r>
    </w:p>
    <w:p>
      <w:pPr>
        <w:spacing w:after="160" w:line="32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Stake through RedDex: reddex.io/stake</w:t>
      </w:r>
    </w:p>
    <w:p>
      <w:pPr>
        <w:spacing w:after="160" w:line="32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Available pools differ by lock period and reward rate. Some carry no lock period; others lock funds for a fixed term for a higher rate. Rates and total value locked change over time, so check the staking page directly for current numbers rather than relying on a snapshot here.</w:t>
      </w:r>
    </w:p>
    <w:p>
      <w:pPr>
        <w:spacing w:after="100" w:before="40"/>
      </w:pPr>
      <w:r>
        <w:rPr>
          <w:rFonts w:ascii="Calibri" w:cs="Calibri" w:eastAsia="Calibri" w:hAnsi="Calibri"/>
          <w:i/>
          <w:iCs/>
          <w:color w:val="4A5A64"/>
          <w:sz w:val="17"/>
          <w:szCs w:val="17"/>
        </w:rPr>
        <w:t xml:space="preserve">Source: staking mechanism confirmed against the Redbelly whitepaper (consensus and storage node staking). Live pool terms from reddex.io/stake.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B3272A"/>
          <w:sz w:val="30"/>
          <w:szCs w:val="30"/>
        </w:rPr>
        <w:t xml:space="preserve">Scam warning</w:t>
      </w:r>
    </w:p>
    <w:p>
      <w:pPr>
        <w:spacing w:after="160" w:line="32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Redbelly staff, moderators, and official support will never DM you first. Any direct message claiming to be from Redbelly staff, offering support, or announcing a giveaway is a scam, no exceptions.</w:t>
      </w:r>
    </w:p>
    <w:p>
      <w:pPr>
        <w:spacing w:after="160" w:line="32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Common patterns to watch for: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Unsolicited DMs offering help with a wallet or KYC issue.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Claims of a giveaway, airdrop, or reward requiring a wallet connection or seed phrase.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Anyone asking for your seed phrase, private key, or asking you to verify your wallet through a link.</w:t>
      </w:r>
    </w:p>
    <w:p>
      <w:pPr>
        <w:spacing w:after="160" w:line="32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Official Redbelly communication only happens through public channels: this site, official docs, and public Discord channels. If you are unsure whether a message is legitimate, do not click any link or connect your wallet. Verify in a public channel first.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B3272A"/>
          <w:sz w:val="30"/>
          <w:szCs w:val="30"/>
        </w:rPr>
        <w:t xml:space="preserve">Testnet faucet</w:t>
      </w:r>
    </w:p>
    <w:p>
      <w:pPr>
        <w:spacing w:after="160" w:line="32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Get free testnet RBNT to deploy and test on Redbelly Testnet, Chain ID 153.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Faucet: vine.redbelly.network/rbnt-faucet, FAUCETME-powered.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Claim amount: 500 RBNT per claim.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Network: Testnet, Chain ID 153.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6202A"/>
          <w:sz w:val="21"/>
          <w:szCs w:val="21"/>
        </w:rPr>
        <w:t xml:space="preserve">Typical deployment cost: effectively zero gas on testnet.</w:t>
      </w:r>
    </w:p>
    <w:p>
      <w:pPr>
        <w:spacing w:after="100" w:before="40"/>
      </w:pPr>
      <w:r>
        <w:rPr>
          <w:rFonts w:ascii="Calibri" w:cs="Calibri" w:eastAsia="Calibri" w:hAnsi="Calibri"/>
          <w:i/>
          <w:iCs/>
          <w:color w:val="4A5A64"/>
          <w:sz w:val="17"/>
          <w:szCs w:val="17"/>
        </w:rPr>
        <w:t xml:space="preserve">Source: vine.redbelly.network/rbnt-faucet, confirmed live.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2026-08-12T08:03:36.823Z</dcterms:created>
  <dcterms:modified xsi:type="dcterms:W3CDTF">2026-08-12T08:03:36.857Z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