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05C" w:rsidRPr="00FF205C" w:rsidRDefault="00FF205C" w:rsidP="00204A02">
      <w:r w:rsidRPr="00FF205C">
        <w:t>CBSAMSA</w:t>
      </w:r>
    </w:p>
    <w:p w:rsidR="00204A02" w:rsidRPr="00FF205C" w:rsidRDefault="00FF205C" w:rsidP="00204A02">
      <w:r w:rsidRPr="00FF205C">
        <w:t>CBSA MSA Met Status Cod</w:t>
      </w:r>
      <w:r w:rsidR="004646C2">
        <w:t>e</w:t>
      </w:r>
    </w:p>
    <w:p w:rsidR="00FF205C" w:rsidRPr="00FF205C" w:rsidRDefault="00FF205C" w:rsidP="00204A02"/>
    <w:p w:rsidR="00204A02" w:rsidRPr="00FF205C" w:rsidRDefault="00204A02" w:rsidP="00204A02">
      <w:r w:rsidRPr="00FF205C">
        <w:t>Universe</w:t>
      </w:r>
    </w:p>
    <w:p w:rsidR="00204A02" w:rsidRPr="00FF205C" w:rsidRDefault="00FF205C" w:rsidP="00204A02">
      <w:r w:rsidRPr="00FF205C">
        <w:t>All persons</w:t>
      </w:r>
    </w:p>
    <w:p w:rsidR="00204A02" w:rsidRPr="00FF205C" w:rsidRDefault="00204A02" w:rsidP="00204A02"/>
    <w:p w:rsidR="00204A02" w:rsidRPr="00FF205C" w:rsidRDefault="00204A02" w:rsidP="00204A02">
      <w:r w:rsidRPr="00FF205C">
        <w:t>Description</w:t>
      </w:r>
    </w:p>
    <w:p w:rsidR="00FF205C" w:rsidRPr="00FF205C" w:rsidRDefault="00FF205C" w:rsidP="00FF205C">
      <w:pPr>
        <w:pStyle w:val="SdaVar"/>
        <w:rPr>
          <w:rFonts w:ascii="Times New Roman" w:hAnsi="Times New Roman"/>
          <w:sz w:val="24"/>
          <w:szCs w:val="24"/>
        </w:rPr>
      </w:pPr>
      <w:r w:rsidRPr="00FF205C">
        <w:rPr>
          <w:rFonts w:ascii="Times New Roman" w:hAnsi="Times New Roman"/>
          <w:sz w:val="24"/>
          <w:szCs w:val="24"/>
        </w:rPr>
        <w:t>CBSAMSA is a Core Based Statistical Area (CBSA) associated with at least one urbanized area with a population of at least 50,000, based on the 2000 Census</w:t>
      </w:r>
      <w:r w:rsidR="001918E9">
        <w:rPr>
          <w:rFonts w:ascii="Times New Roman" w:hAnsi="Times New Roman"/>
          <w:sz w:val="24"/>
          <w:szCs w:val="24"/>
        </w:rPr>
        <w:t xml:space="preserve"> of Population and Housing</w:t>
      </w:r>
      <w:r w:rsidRPr="00FF205C">
        <w:rPr>
          <w:rFonts w:ascii="Times New Roman" w:hAnsi="Times New Roman"/>
          <w:sz w:val="24"/>
          <w:szCs w:val="24"/>
        </w:rPr>
        <w:t>.  A</w:t>
      </w:r>
      <w:r>
        <w:rPr>
          <w:rFonts w:ascii="Times New Roman" w:hAnsi="Times New Roman"/>
          <w:sz w:val="24"/>
          <w:szCs w:val="24"/>
        </w:rPr>
        <w:t xml:space="preserve"> </w:t>
      </w:r>
      <w:r w:rsidRPr="00FF205C">
        <w:rPr>
          <w:rFonts w:ascii="Times New Roman" w:hAnsi="Times New Roman"/>
          <w:sz w:val="24"/>
          <w:szCs w:val="24"/>
        </w:rPr>
        <w:t>Metropolitan Statistical Area (MSA) consists of the Central County or counties containing the core urban area, plus adjacent/outlying counties that have a high degree of social and economic integration with the Central County, 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FF205C">
        <w:rPr>
          <w:rFonts w:ascii="Times New Roman" w:hAnsi="Times New Roman"/>
          <w:sz w:val="24"/>
          <w:szCs w:val="24"/>
        </w:rPr>
        <w:t xml:space="preserve">measured by </w:t>
      </w:r>
      <w:r w:rsidR="001918E9">
        <w:rPr>
          <w:rFonts w:ascii="Times New Roman" w:hAnsi="Times New Roman"/>
          <w:sz w:val="24"/>
          <w:szCs w:val="24"/>
        </w:rPr>
        <w:t>commuting</w:t>
      </w:r>
      <w:r w:rsidRPr="00FF205C">
        <w:rPr>
          <w:rFonts w:ascii="Times New Roman" w:hAnsi="Times New Roman"/>
          <w:sz w:val="24"/>
          <w:szCs w:val="24"/>
        </w:rPr>
        <w:t xml:space="preserve"> patterns.  As of June 6, 2003, the OMB has defined a total of 362 Metropolitan Statistical Areas that incorporate 1,090</w:t>
      </w:r>
      <w:r>
        <w:rPr>
          <w:rFonts w:ascii="Times New Roman" w:hAnsi="Times New Roman"/>
          <w:sz w:val="24"/>
          <w:szCs w:val="24"/>
        </w:rPr>
        <w:t xml:space="preserve"> </w:t>
      </w:r>
      <w:r w:rsidRPr="00FF205C">
        <w:rPr>
          <w:rFonts w:ascii="Times New Roman" w:hAnsi="Times New Roman"/>
          <w:sz w:val="24"/>
          <w:szCs w:val="24"/>
        </w:rPr>
        <w:t>counties, containing approximately 83% of the US population.  While 78% of</w:t>
      </w:r>
      <w:r>
        <w:rPr>
          <w:rFonts w:ascii="Times New Roman" w:hAnsi="Times New Roman"/>
          <w:sz w:val="24"/>
          <w:szCs w:val="24"/>
        </w:rPr>
        <w:t xml:space="preserve"> </w:t>
      </w:r>
      <w:r w:rsidRPr="00FF205C">
        <w:rPr>
          <w:rFonts w:ascii="Times New Roman" w:hAnsi="Times New Roman"/>
          <w:sz w:val="24"/>
          <w:szCs w:val="24"/>
        </w:rPr>
        <w:t>the counties now classified as “metropolitan” are the same as before, many</w:t>
      </w:r>
      <w:r>
        <w:rPr>
          <w:rFonts w:ascii="Times New Roman" w:hAnsi="Times New Roman"/>
          <w:sz w:val="24"/>
          <w:szCs w:val="24"/>
        </w:rPr>
        <w:t xml:space="preserve"> </w:t>
      </w:r>
      <w:r w:rsidRPr="00FF205C">
        <w:rPr>
          <w:rFonts w:ascii="Times New Roman" w:hAnsi="Times New Roman"/>
          <w:sz w:val="24"/>
          <w:szCs w:val="24"/>
        </w:rPr>
        <w:t>Metropolitan areas have changed in some way, either by name or geographic composition.</w:t>
      </w:r>
    </w:p>
    <w:p w:rsidR="00FF205C" w:rsidRPr="00FF205C" w:rsidRDefault="00FF205C" w:rsidP="00FF205C"/>
    <w:p w:rsidR="00204A02" w:rsidRPr="00FF205C" w:rsidRDefault="00204A02" w:rsidP="00204A02"/>
    <w:p w:rsidR="00204A02" w:rsidRPr="00FF205C" w:rsidRDefault="00204A02" w:rsidP="00204A02"/>
    <w:p w:rsidR="00204A02" w:rsidRPr="00FF205C" w:rsidRDefault="00204A02" w:rsidP="00204A02">
      <w:r w:rsidRPr="00FF205C">
        <w:t>Comparability</w:t>
      </w:r>
    </w:p>
    <w:p w:rsidR="00204A02" w:rsidRPr="00FF205C" w:rsidRDefault="00DA5BF4" w:rsidP="00204A02">
      <w:r>
        <w:t>CMSAMSA is comparable across years</w:t>
      </w:r>
    </w:p>
    <w:p w:rsidR="00204A02" w:rsidRPr="00FF205C" w:rsidRDefault="00204A02" w:rsidP="00204A02"/>
    <w:p w:rsidR="00204A02" w:rsidRPr="00FF205C" w:rsidRDefault="00204A02" w:rsidP="00204A02"/>
    <w:p w:rsidR="00204A02" w:rsidRPr="00FF205C" w:rsidRDefault="00204A02" w:rsidP="00204A02">
      <w:r w:rsidRPr="00FF205C">
        <w:t>Question to respondent</w:t>
      </w:r>
    </w:p>
    <w:p w:rsidR="00204A02" w:rsidRPr="00FF205C" w:rsidRDefault="00204A02" w:rsidP="00204A02"/>
    <w:p w:rsidR="00204A02" w:rsidRPr="00FF205C" w:rsidRDefault="00204A02" w:rsidP="00204A02"/>
    <w:p w:rsidR="00204A02" w:rsidRPr="00FF205C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FF205C" w:rsidRDefault="00204A02" w:rsidP="00204A02">
      <w:r w:rsidRPr="00FF205C">
        <w:t>Instructions to interviewer</w:t>
      </w:r>
    </w:p>
    <w:p w:rsidR="008E3EFF" w:rsidRPr="00FF205C" w:rsidRDefault="008E3EFF"/>
    <w:p w:rsidR="00204A02" w:rsidRPr="00FF205C" w:rsidRDefault="00204A02"/>
    <w:p w:rsidR="00204A02" w:rsidRPr="00FF205C" w:rsidRDefault="00204A02"/>
    <w:sectPr w:rsidR="00204A02" w:rsidRPr="00FF205C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F205C"/>
    <w:rsid w:val="001918E9"/>
    <w:rsid w:val="00204A02"/>
    <w:rsid w:val="004646C2"/>
    <w:rsid w:val="00691532"/>
    <w:rsid w:val="0086401E"/>
    <w:rsid w:val="008811B5"/>
    <w:rsid w:val="008E3EFF"/>
    <w:rsid w:val="00BB4177"/>
    <w:rsid w:val="00C17967"/>
    <w:rsid w:val="00DA5BF4"/>
    <w:rsid w:val="00FF2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4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2</cp:revision>
  <dcterms:created xsi:type="dcterms:W3CDTF">2011-04-06T19:57:00Z</dcterms:created>
  <dcterms:modified xsi:type="dcterms:W3CDTF">2011-04-06T19:57:00Z</dcterms:modified>
</cp:coreProperties>
</file>