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jc w:val="center"/>
      </w:pPr>
      <w:r>
        <w:drawing>
          <wp:inline xmlns:a="http://schemas.openxmlformats.org/drawingml/2006/main" xmlns:pic="http://schemas.openxmlformats.org/drawingml/2006/picture">
            <wp:extent cx="3200400" cy="1801182"/>
            <wp:docPr id="4" name="Picture 4"/>
            <wp:cNvGraphicFramePr>
              <a:graphicFrameLocks noChangeAspect="1"/>
            </wp:cNvGraphicFramePr>
            <a:graphic>
              <a:graphicData uri="http://schemas.openxmlformats.org/drawingml/2006/picture">
                <pic:pic>
                  <pic:nvPicPr>
                    <pic:cNvPr id="0" name="06_consciousness_empty_chair.png"/>
                    <pic:cNvPicPr/>
                  </pic:nvPicPr>
                  <pic:blipFill>
                    <a:blip r:embed="rId12"/>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意识是整合的用户界面——空椅子暗示“我”不是操作者，而是整合本身</w:t>
      </w:r>
    </w:p>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3"/>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