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E35F0" w14:textId="77777777" w:rsidR="00E375BE" w:rsidRDefault="004313A7">
      <w:pPr>
        <w:spacing w:after="80" w:line="269" w:lineRule="auto"/>
        <w:jc w:val="center"/>
      </w:pPr>
      <w:r>
        <w:rPr>
          <w:noProof/>
        </w:rPr>
        <w:drawing>
          <wp:inline distT="0" distB="0" distL="0" distR="0" wp14:anchorId="72EAC74D" wp14:editId="33ECC91D">
            <wp:extent cx="6400800" cy="8407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head-banner.jpg"/>
                    <pic:cNvPicPr/>
                  </pic:nvPicPr>
                  <pic:blipFill>
                    <a:blip r:embed="rId8"/>
                    <a:stretch>
                      <a:fillRect/>
                    </a:stretch>
                  </pic:blipFill>
                  <pic:spPr>
                    <a:xfrm>
                      <a:off x="0" y="0"/>
                      <a:ext cx="6400800" cy="840730"/>
                    </a:xfrm>
                    <a:prstGeom prst="rect">
                      <a:avLst/>
                    </a:prstGeom>
                  </pic:spPr>
                </pic:pic>
              </a:graphicData>
            </a:graphic>
          </wp:inline>
        </w:drawing>
      </w:r>
    </w:p>
    <w:p w14:paraId="71A82C06" w14:textId="77777777" w:rsidR="00E375BE" w:rsidRDefault="004313A7">
      <w:pPr>
        <w:spacing w:before="20" w:after="20" w:line="269" w:lineRule="auto"/>
        <w:jc w:val="center"/>
      </w:pPr>
      <w:r>
        <w:rPr>
          <w:rFonts w:ascii="Calibri" w:hAnsi="Calibri"/>
          <w:b/>
          <w:color w:val="1B365D"/>
          <w:sz w:val="33"/>
        </w:rPr>
        <w:t>SYSTEM PROPOSAL &amp; INSTITUTIONAL BUDGET</w:t>
      </w:r>
    </w:p>
    <w:p w14:paraId="5BADDB56" w14:textId="77777777" w:rsidR="00E375BE" w:rsidRDefault="004313A7">
      <w:pPr>
        <w:spacing w:after="120" w:line="269" w:lineRule="auto"/>
        <w:jc w:val="center"/>
      </w:pPr>
      <w:r>
        <w:rPr>
          <w:rFonts w:ascii="Calibri" w:hAnsi="Calibri"/>
          <w:b/>
          <w:color w:val="5A646E"/>
        </w:rPr>
        <w:t>Financial Transparency &amp; Student Academic Portal</w:t>
      </w:r>
    </w:p>
    <w:tbl>
      <w:tblPr>
        <w:tblW w:w="0" w:type="auto"/>
        <w:jc w:val="center"/>
        <w:tblBorders>
          <w:top w:val="single" w:sz="4" w:space="0" w:color="1B365D"/>
          <w:bottom w:val="single" w:sz="4" w:space="0" w:color="1B365D"/>
          <w:insideH w:val="single" w:sz="4" w:space="0" w:color="1B365D"/>
        </w:tblBorders>
        <w:tblLayout w:type="fixed"/>
        <w:tblLook w:val="04A0" w:firstRow="1" w:lastRow="0" w:firstColumn="1" w:lastColumn="0" w:noHBand="0" w:noVBand="1"/>
      </w:tblPr>
      <w:tblGrid>
        <w:gridCol w:w="5040"/>
        <w:gridCol w:w="5040"/>
      </w:tblGrid>
      <w:tr w:rsidR="00E375BE" w14:paraId="60762E58" w14:textId="77777777">
        <w:trPr>
          <w:jc w:val="center"/>
        </w:trPr>
        <w:tc>
          <w:tcPr>
            <w:tcW w:w="5040" w:type="dxa"/>
            <w:shd w:val="clear" w:color="auto" w:fill="F4F6F9"/>
            <w:tcMar>
              <w:top w:w="65" w:type="dxa"/>
              <w:left w:w="100" w:type="dxa"/>
              <w:bottom w:w="65" w:type="dxa"/>
              <w:right w:w="100" w:type="dxa"/>
            </w:tcMar>
          </w:tcPr>
          <w:p w14:paraId="37C46781" w14:textId="77777777" w:rsidR="00E375BE" w:rsidRDefault="004313A7">
            <w:pPr>
              <w:spacing w:after="0" w:line="252" w:lineRule="auto"/>
            </w:pPr>
            <w:r>
              <w:rPr>
                <w:rFonts w:ascii="Calibri" w:hAnsi="Calibri"/>
                <w:b/>
                <w:color w:val="1B365D"/>
                <w:sz w:val="17"/>
              </w:rPr>
              <w:t>PROJECT PROPONENT:</w:t>
            </w:r>
            <w:r>
              <w:rPr>
                <w:rFonts w:ascii="Calibri" w:hAnsi="Calibri"/>
                <w:color w:val="222222"/>
                <w:sz w:val="17"/>
              </w:rPr>
              <w:t xml:space="preserve"> College of Engineering LGU, Cor Jesu College</w:t>
            </w:r>
          </w:p>
        </w:tc>
        <w:tc>
          <w:tcPr>
            <w:tcW w:w="5040" w:type="dxa"/>
            <w:shd w:val="clear" w:color="auto" w:fill="F4F6F9"/>
            <w:tcMar>
              <w:top w:w="65" w:type="dxa"/>
              <w:left w:w="100" w:type="dxa"/>
              <w:bottom w:w="65" w:type="dxa"/>
              <w:right w:w="100" w:type="dxa"/>
            </w:tcMar>
          </w:tcPr>
          <w:p w14:paraId="04C3A3F9" w14:textId="77777777" w:rsidR="00E375BE" w:rsidRDefault="004313A7">
            <w:pPr>
              <w:spacing w:after="0" w:line="252" w:lineRule="auto"/>
            </w:pPr>
            <w:r>
              <w:rPr>
                <w:rFonts w:ascii="Calibri" w:hAnsi="Calibri"/>
                <w:b/>
                <w:color w:val="1B365D"/>
                <w:sz w:val="17"/>
              </w:rPr>
              <w:t>SUBMITTED TO:</w:t>
            </w:r>
            <w:r>
              <w:rPr>
                <w:rFonts w:ascii="Calibri" w:hAnsi="Calibri"/>
                <w:color w:val="222222"/>
                <w:sz w:val="17"/>
              </w:rPr>
              <w:t xml:space="preserve"> Office of the President / Academic Administration</w:t>
            </w:r>
          </w:p>
        </w:tc>
      </w:tr>
      <w:tr w:rsidR="00E375BE" w14:paraId="336F7834" w14:textId="77777777">
        <w:trPr>
          <w:jc w:val="center"/>
        </w:trPr>
        <w:tc>
          <w:tcPr>
            <w:tcW w:w="5040" w:type="dxa"/>
            <w:shd w:val="clear" w:color="auto" w:fill="F4F6F9"/>
            <w:tcMar>
              <w:top w:w="65" w:type="dxa"/>
              <w:left w:w="100" w:type="dxa"/>
              <w:bottom w:w="65" w:type="dxa"/>
              <w:right w:w="100" w:type="dxa"/>
            </w:tcMar>
          </w:tcPr>
          <w:p w14:paraId="30DCCA39" w14:textId="77777777" w:rsidR="00E375BE" w:rsidRDefault="004313A7">
            <w:pPr>
              <w:spacing w:after="0" w:line="252" w:lineRule="auto"/>
            </w:pPr>
            <w:r>
              <w:rPr>
                <w:rFonts w:ascii="Calibri" w:hAnsi="Calibri"/>
                <w:b/>
                <w:color w:val="1B365D"/>
                <w:sz w:val="17"/>
              </w:rPr>
              <w:t>DATE OF SUBMISSION:</w:t>
            </w:r>
            <w:r>
              <w:rPr>
                <w:rFonts w:ascii="Calibri" w:hAnsi="Calibri"/>
                <w:color w:val="222222"/>
                <w:sz w:val="17"/>
              </w:rPr>
              <w:t xml:space="preserve"> September 24, 2026 | Ref: SP-2026-COE-001</w:t>
            </w:r>
          </w:p>
        </w:tc>
        <w:tc>
          <w:tcPr>
            <w:tcW w:w="5040" w:type="dxa"/>
            <w:shd w:val="clear" w:color="auto" w:fill="F4F6F9"/>
            <w:tcMar>
              <w:top w:w="65" w:type="dxa"/>
              <w:left w:w="100" w:type="dxa"/>
              <w:bottom w:w="65" w:type="dxa"/>
              <w:right w:w="100" w:type="dxa"/>
            </w:tcMar>
          </w:tcPr>
          <w:p w14:paraId="2146C7E6" w14:textId="77777777" w:rsidR="00E375BE" w:rsidRDefault="004313A7">
            <w:pPr>
              <w:spacing w:after="0" w:line="252" w:lineRule="auto"/>
            </w:pPr>
            <w:r>
              <w:rPr>
                <w:rFonts w:ascii="Calibri" w:hAnsi="Calibri"/>
                <w:b/>
                <w:color w:val="1B365D"/>
                <w:sz w:val="17"/>
              </w:rPr>
              <w:t>PROPOSED BUDGET:</w:t>
            </w:r>
            <w:r>
              <w:rPr>
                <w:rFonts w:ascii="Calibri" w:hAnsi="Calibri"/>
                <w:color w:val="222222"/>
                <w:sz w:val="17"/>
              </w:rPr>
              <w:t xml:space="preserve"> ₱18,500.00 PHP (Turnkey Implementation)</w:t>
            </w:r>
          </w:p>
        </w:tc>
      </w:tr>
    </w:tbl>
    <w:p w14:paraId="56633ED4" w14:textId="77777777" w:rsidR="00E375BE" w:rsidRDefault="004313A7">
      <w:pPr>
        <w:keepNext/>
        <w:pBdr>
          <w:bottom w:val="single" w:sz="8" w:space="2" w:color="1B365D"/>
        </w:pBdr>
        <w:spacing w:before="180" w:after="80" w:line="269" w:lineRule="auto"/>
      </w:pPr>
      <w:r>
        <w:rPr>
          <w:rFonts w:ascii="Calibri" w:hAnsi="Calibri"/>
          <w:b/>
          <w:color w:val="1B365D"/>
          <w:sz w:val="24"/>
        </w:rPr>
        <w:t>1. Executive Summary &amp; Project Rationale</w:t>
      </w:r>
    </w:p>
    <w:p w14:paraId="386E1FFC" w14:textId="77777777" w:rsidR="00E375BE" w:rsidRDefault="004313A7">
      <w:pPr>
        <w:spacing w:after="80" w:line="269" w:lineRule="auto"/>
      </w:pPr>
      <w:r>
        <w:rPr>
          <w:rFonts w:ascii="Calibri" w:hAnsi="Calibri"/>
          <w:color w:val="222222"/>
          <w:sz w:val="19"/>
        </w:rPr>
        <w:t>This proposal presents a turnkey deployment plan for the institutional adoption of the Financial Transparency and Student Academic Portal. Developed and validated within the College of Engineering Local Government Unit (COE-LGU) of Cor Jesu College, the platform resolves two critical administrative friction points: manual financial record-keeping and fragmented student academic progress verification.</w:t>
      </w:r>
    </w:p>
    <w:p w14:paraId="73CDDFA2" w14:textId="77777777" w:rsidR="00E375BE" w:rsidRDefault="004313A7">
      <w:pPr>
        <w:spacing w:after="120" w:line="269" w:lineRule="auto"/>
      </w:pPr>
      <w:r>
        <w:rPr>
          <w:rFonts w:ascii="Calibri" w:hAnsi="Calibri"/>
          <w:color w:val="222222"/>
          <w:sz w:val="19"/>
        </w:rPr>
        <w:t>Financial tracking relying on disconnected spreadsheets and paper receipts suffers from delayed liquidation reporting, lack of real-time balance visibility, and high audit overhead. Concurrently, academic evaluation (such as load approval, prerequisite validation, and standing verification) requires manual cross-referencing across separate rosters and forms. The proposed web-based system unifies both financial ledger management and academic prospectus verification into a single, secure, role-restricted plat</w:t>
      </w:r>
      <w:r>
        <w:rPr>
          <w:rFonts w:ascii="Calibri" w:hAnsi="Calibri"/>
          <w:color w:val="222222"/>
          <w:sz w:val="19"/>
        </w:rPr>
        <w:t>form.</w:t>
      </w:r>
    </w:p>
    <w:p w14:paraId="3C0948EE" w14:textId="77777777" w:rsidR="00E375BE" w:rsidRDefault="004313A7">
      <w:pPr>
        <w:keepNext/>
        <w:pBdr>
          <w:bottom w:val="single" w:sz="8" w:space="2" w:color="1B365D"/>
        </w:pBdr>
        <w:spacing w:before="180" w:after="80" w:line="269" w:lineRule="auto"/>
      </w:pPr>
      <w:r>
        <w:rPr>
          <w:rFonts w:ascii="Calibri" w:hAnsi="Calibri"/>
          <w:b/>
          <w:color w:val="1B365D"/>
          <w:sz w:val="24"/>
        </w:rPr>
        <w:t>2. Core System Architecture &amp; Scope</w:t>
      </w:r>
    </w:p>
    <w:p w14:paraId="4B3FAEB3" w14:textId="77777777" w:rsidR="00E375BE" w:rsidRDefault="004313A7">
      <w:pPr>
        <w:spacing w:after="100" w:line="269" w:lineRule="auto"/>
      </w:pPr>
      <w:r>
        <w:rPr>
          <w:rFonts w:ascii="Calibri" w:hAnsi="Calibri"/>
          <w:color w:val="222222"/>
          <w:sz w:val="19"/>
        </w:rPr>
        <w:t>The application is built as a client-server web system leveraging Supabase (PostgreSQL with Row-Level Security) and standard web technologies. It requires zero client installation and functions seamlessly across desktop browsers, mobile devices (Progressive Web App), and optional native desktop clients.</w:t>
      </w:r>
    </w:p>
    <w:tbl>
      <w:tblPr>
        <w:tblW w:w="0" w:type="auto"/>
        <w:jc w:val="center"/>
        <w:tblBorders>
          <w:top w:val="single" w:sz="4" w:space="0" w:color="CCCCCC"/>
          <w:bottom w:val="single" w:sz="4" w:space="0" w:color="CCCCCC"/>
          <w:insideH w:val="single" w:sz="4" w:space="0" w:color="CCCCCC"/>
        </w:tblBorders>
        <w:tblLayout w:type="fixed"/>
        <w:tblLook w:val="04A0" w:firstRow="1" w:lastRow="0" w:firstColumn="1" w:lastColumn="0" w:noHBand="0" w:noVBand="1"/>
      </w:tblPr>
      <w:tblGrid>
        <w:gridCol w:w="2160"/>
        <w:gridCol w:w="6192"/>
        <w:gridCol w:w="1728"/>
      </w:tblGrid>
      <w:tr w:rsidR="00E375BE" w14:paraId="69DDE05E" w14:textId="77777777">
        <w:trPr>
          <w:jc w:val="center"/>
        </w:trPr>
        <w:tc>
          <w:tcPr>
            <w:tcW w:w="2160" w:type="dxa"/>
            <w:shd w:val="clear" w:color="auto" w:fill="1B365D"/>
            <w:tcMar>
              <w:top w:w="80" w:type="dxa"/>
              <w:left w:w="90" w:type="dxa"/>
              <w:bottom w:w="80" w:type="dxa"/>
              <w:right w:w="90" w:type="dxa"/>
            </w:tcMar>
          </w:tcPr>
          <w:p w14:paraId="651DD381" w14:textId="77777777" w:rsidR="00E375BE" w:rsidRDefault="004313A7">
            <w:pPr>
              <w:spacing w:after="0" w:line="269" w:lineRule="auto"/>
            </w:pPr>
            <w:r>
              <w:rPr>
                <w:rFonts w:ascii="Calibri" w:hAnsi="Calibri"/>
                <w:b/>
                <w:color w:val="FFFFFF"/>
                <w:sz w:val="17"/>
              </w:rPr>
              <w:t>Functional Domain</w:t>
            </w:r>
          </w:p>
        </w:tc>
        <w:tc>
          <w:tcPr>
            <w:tcW w:w="6192" w:type="dxa"/>
            <w:shd w:val="clear" w:color="auto" w:fill="1B365D"/>
            <w:tcMar>
              <w:top w:w="80" w:type="dxa"/>
              <w:left w:w="90" w:type="dxa"/>
              <w:bottom w:w="80" w:type="dxa"/>
              <w:right w:w="90" w:type="dxa"/>
            </w:tcMar>
          </w:tcPr>
          <w:p w14:paraId="4447EAD5" w14:textId="77777777" w:rsidR="00E375BE" w:rsidRDefault="004313A7">
            <w:pPr>
              <w:spacing w:after="0" w:line="269" w:lineRule="auto"/>
            </w:pPr>
            <w:r>
              <w:rPr>
                <w:rFonts w:ascii="Calibri" w:hAnsi="Calibri"/>
                <w:b/>
                <w:color w:val="FFFFFF"/>
                <w:sz w:val="17"/>
              </w:rPr>
              <w:t>Key Capabilities &amp; Features</w:t>
            </w:r>
          </w:p>
        </w:tc>
        <w:tc>
          <w:tcPr>
            <w:tcW w:w="1728" w:type="dxa"/>
            <w:shd w:val="clear" w:color="auto" w:fill="1B365D"/>
            <w:tcMar>
              <w:top w:w="80" w:type="dxa"/>
              <w:left w:w="90" w:type="dxa"/>
              <w:bottom w:w="80" w:type="dxa"/>
              <w:right w:w="90" w:type="dxa"/>
            </w:tcMar>
          </w:tcPr>
          <w:p w14:paraId="1608C798" w14:textId="77777777" w:rsidR="00E375BE" w:rsidRDefault="004313A7">
            <w:pPr>
              <w:spacing w:after="0" w:line="269" w:lineRule="auto"/>
            </w:pPr>
            <w:r>
              <w:rPr>
                <w:rFonts w:ascii="Calibri" w:hAnsi="Calibri"/>
                <w:b/>
                <w:color w:val="FFFFFF"/>
                <w:sz w:val="17"/>
              </w:rPr>
              <w:t>Target Users</w:t>
            </w:r>
          </w:p>
        </w:tc>
      </w:tr>
      <w:tr w:rsidR="00E375BE" w14:paraId="3FDBB240" w14:textId="77777777">
        <w:trPr>
          <w:jc w:val="center"/>
        </w:trPr>
        <w:tc>
          <w:tcPr>
            <w:tcW w:w="2160" w:type="dxa"/>
            <w:shd w:val="clear" w:color="auto" w:fill="F9FAFC"/>
            <w:tcMar>
              <w:top w:w="65" w:type="dxa"/>
              <w:left w:w="90" w:type="dxa"/>
              <w:bottom w:w="65" w:type="dxa"/>
              <w:right w:w="90" w:type="dxa"/>
            </w:tcMar>
          </w:tcPr>
          <w:p w14:paraId="7FF5614B" w14:textId="77777777" w:rsidR="00E375BE" w:rsidRDefault="004313A7">
            <w:pPr>
              <w:spacing w:after="0" w:line="259" w:lineRule="auto"/>
            </w:pPr>
            <w:r>
              <w:rPr>
                <w:rFonts w:ascii="Calibri" w:hAnsi="Calibri"/>
                <w:b/>
                <w:color w:val="1B365D"/>
                <w:sz w:val="17"/>
              </w:rPr>
              <w:t>1. Financial Ledger &amp; Transparency</w:t>
            </w:r>
          </w:p>
        </w:tc>
        <w:tc>
          <w:tcPr>
            <w:tcW w:w="6192" w:type="dxa"/>
            <w:shd w:val="clear" w:color="auto" w:fill="F9FAFC"/>
            <w:tcMar>
              <w:top w:w="65" w:type="dxa"/>
              <w:left w:w="90" w:type="dxa"/>
              <w:bottom w:w="65" w:type="dxa"/>
              <w:right w:w="90" w:type="dxa"/>
            </w:tcMar>
          </w:tcPr>
          <w:p w14:paraId="03A270B6" w14:textId="77777777" w:rsidR="00E375BE" w:rsidRDefault="004313A7">
            <w:pPr>
              <w:spacing w:after="0" w:line="259" w:lineRule="auto"/>
            </w:pPr>
            <w:r>
              <w:rPr>
                <w:rFonts w:ascii="Calibri" w:hAnsi="Calibri"/>
                <w:color w:val="222222"/>
                <w:sz w:val="17"/>
              </w:rPr>
              <w:t>Double-entry transaction ledger with compulsory receipt uploads, per-activity budget envelopes, real-time overdraft validation, automated PDF/Excel liquidation report generation, and public disclosure summary.</w:t>
            </w:r>
          </w:p>
        </w:tc>
        <w:tc>
          <w:tcPr>
            <w:tcW w:w="1728" w:type="dxa"/>
            <w:shd w:val="clear" w:color="auto" w:fill="F9FAFC"/>
            <w:tcMar>
              <w:top w:w="65" w:type="dxa"/>
              <w:left w:w="90" w:type="dxa"/>
              <w:bottom w:w="65" w:type="dxa"/>
              <w:right w:w="90" w:type="dxa"/>
            </w:tcMar>
          </w:tcPr>
          <w:p w14:paraId="09CAB057" w14:textId="77777777" w:rsidR="00E375BE" w:rsidRDefault="004313A7">
            <w:pPr>
              <w:spacing w:after="0" w:line="259" w:lineRule="auto"/>
            </w:pPr>
            <w:r>
              <w:rPr>
                <w:rFonts w:ascii="Calibri" w:hAnsi="Calibri"/>
                <w:color w:val="222222"/>
                <w:sz w:val="17"/>
              </w:rPr>
              <w:t>Officers, Cashiers, Governor, Admin</w:t>
            </w:r>
          </w:p>
        </w:tc>
      </w:tr>
      <w:tr w:rsidR="00E375BE" w14:paraId="13CA1C62" w14:textId="77777777">
        <w:trPr>
          <w:jc w:val="center"/>
        </w:trPr>
        <w:tc>
          <w:tcPr>
            <w:tcW w:w="2160" w:type="dxa"/>
            <w:shd w:val="clear" w:color="auto" w:fill="FFFFFF"/>
            <w:tcMar>
              <w:top w:w="65" w:type="dxa"/>
              <w:left w:w="90" w:type="dxa"/>
              <w:bottom w:w="65" w:type="dxa"/>
              <w:right w:w="90" w:type="dxa"/>
            </w:tcMar>
          </w:tcPr>
          <w:p w14:paraId="6A522760" w14:textId="77777777" w:rsidR="00E375BE" w:rsidRDefault="004313A7">
            <w:pPr>
              <w:spacing w:after="0" w:line="259" w:lineRule="auto"/>
            </w:pPr>
            <w:r>
              <w:rPr>
                <w:rFonts w:ascii="Calibri" w:hAnsi="Calibri"/>
                <w:b/>
                <w:color w:val="1B365D"/>
                <w:sz w:val="17"/>
              </w:rPr>
              <w:t>2. Academic Records &amp; Load Verification</w:t>
            </w:r>
          </w:p>
        </w:tc>
        <w:tc>
          <w:tcPr>
            <w:tcW w:w="6192" w:type="dxa"/>
            <w:shd w:val="clear" w:color="auto" w:fill="FFFFFF"/>
            <w:tcMar>
              <w:top w:w="65" w:type="dxa"/>
              <w:left w:w="90" w:type="dxa"/>
              <w:bottom w:w="65" w:type="dxa"/>
              <w:right w:w="90" w:type="dxa"/>
            </w:tcMar>
          </w:tcPr>
          <w:p w14:paraId="6CBD7DD1" w14:textId="77777777" w:rsidR="00E375BE" w:rsidRDefault="004313A7">
            <w:pPr>
              <w:spacing w:after="0" w:line="259" w:lineRule="auto"/>
            </w:pPr>
            <w:r>
              <w:rPr>
                <w:rFonts w:ascii="Calibri" w:hAnsi="Calibri"/>
                <w:color w:val="222222"/>
                <w:sz w:val="17"/>
              </w:rPr>
              <w:t>Program prospectus structure, prerequisite and co-requisite validation, student load submission &amp; Program Head approval workflow, credit-unit tracker, automated standing transcripts, and student roster integration.</w:t>
            </w:r>
          </w:p>
        </w:tc>
        <w:tc>
          <w:tcPr>
            <w:tcW w:w="1728" w:type="dxa"/>
            <w:shd w:val="clear" w:color="auto" w:fill="FFFFFF"/>
            <w:tcMar>
              <w:top w:w="65" w:type="dxa"/>
              <w:left w:w="90" w:type="dxa"/>
              <w:bottom w:w="65" w:type="dxa"/>
              <w:right w:w="90" w:type="dxa"/>
            </w:tcMar>
          </w:tcPr>
          <w:p w14:paraId="3C90A300" w14:textId="77777777" w:rsidR="00E375BE" w:rsidRDefault="004313A7">
            <w:pPr>
              <w:spacing w:after="0" w:line="259" w:lineRule="auto"/>
            </w:pPr>
            <w:r>
              <w:rPr>
                <w:rFonts w:ascii="Calibri" w:hAnsi="Calibri"/>
                <w:color w:val="222222"/>
                <w:sz w:val="17"/>
              </w:rPr>
              <w:t>Students, Program Heads, Dean</w:t>
            </w:r>
          </w:p>
        </w:tc>
      </w:tr>
      <w:tr w:rsidR="00E375BE" w14:paraId="40341E0D" w14:textId="77777777">
        <w:trPr>
          <w:jc w:val="center"/>
        </w:trPr>
        <w:tc>
          <w:tcPr>
            <w:tcW w:w="2160" w:type="dxa"/>
            <w:shd w:val="clear" w:color="auto" w:fill="F9FAFC"/>
            <w:tcMar>
              <w:top w:w="65" w:type="dxa"/>
              <w:left w:w="90" w:type="dxa"/>
              <w:bottom w:w="65" w:type="dxa"/>
              <w:right w:w="90" w:type="dxa"/>
            </w:tcMar>
          </w:tcPr>
          <w:p w14:paraId="4BAF85DC" w14:textId="77777777" w:rsidR="00E375BE" w:rsidRDefault="004313A7">
            <w:pPr>
              <w:spacing w:after="0" w:line="259" w:lineRule="auto"/>
            </w:pPr>
            <w:r>
              <w:rPr>
                <w:rFonts w:ascii="Calibri" w:hAnsi="Calibri"/>
                <w:b/>
                <w:color w:val="1B365D"/>
                <w:sz w:val="17"/>
              </w:rPr>
              <w:t>3. Student Services &amp; Public Verification</w:t>
            </w:r>
          </w:p>
        </w:tc>
        <w:tc>
          <w:tcPr>
            <w:tcW w:w="6192" w:type="dxa"/>
            <w:shd w:val="clear" w:color="auto" w:fill="F9FAFC"/>
            <w:tcMar>
              <w:top w:w="65" w:type="dxa"/>
              <w:left w:w="90" w:type="dxa"/>
              <w:bottom w:w="65" w:type="dxa"/>
              <w:right w:w="90" w:type="dxa"/>
            </w:tcMar>
          </w:tcPr>
          <w:p w14:paraId="27AF33D9" w14:textId="77777777" w:rsidR="00E375BE" w:rsidRDefault="004313A7">
            <w:pPr>
              <w:spacing w:after="0" w:line="259" w:lineRule="auto"/>
            </w:pPr>
            <w:r>
              <w:rPr>
                <w:rFonts w:ascii="Calibri" w:hAnsi="Calibri"/>
                <w:color w:val="222222"/>
                <w:sz w:val="17"/>
              </w:rPr>
              <w:t>Targeted in-app &amp; email notifications, structured student feedback facility, institutional announcements, and verifiable digital Curriculum Vitae (CV) builder with public token validation.</w:t>
            </w:r>
          </w:p>
        </w:tc>
        <w:tc>
          <w:tcPr>
            <w:tcW w:w="1728" w:type="dxa"/>
            <w:shd w:val="clear" w:color="auto" w:fill="F9FAFC"/>
            <w:tcMar>
              <w:top w:w="65" w:type="dxa"/>
              <w:left w:w="90" w:type="dxa"/>
              <w:bottom w:w="65" w:type="dxa"/>
              <w:right w:w="90" w:type="dxa"/>
            </w:tcMar>
          </w:tcPr>
          <w:p w14:paraId="0764C707" w14:textId="77777777" w:rsidR="00E375BE" w:rsidRDefault="004313A7">
            <w:pPr>
              <w:spacing w:after="0" w:line="259" w:lineRule="auto"/>
            </w:pPr>
            <w:r>
              <w:rPr>
                <w:rFonts w:ascii="Calibri" w:hAnsi="Calibri"/>
                <w:color w:val="222222"/>
                <w:sz w:val="17"/>
              </w:rPr>
              <w:t>Students, External Verifiers</w:t>
            </w:r>
          </w:p>
        </w:tc>
      </w:tr>
      <w:tr w:rsidR="00E375BE" w14:paraId="69F60081" w14:textId="77777777">
        <w:trPr>
          <w:jc w:val="center"/>
        </w:trPr>
        <w:tc>
          <w:tcPr>
            <w:tcW w:w="2160" w:type="dxa"/>
            <w:shd w:val="clear" w:color="auto" w:fill="FFFFFF"/>
            <w:tcMar>
              <w:top w:w="65" w:type="dxa"/>
              <w:left w:w="90" w:type="dxa"/>
              <w:bottom w:w="65" w:type="dxa"/>
              <w:right w:w="90" w:type="dxa"/>
            </w:tcMar>
          </w:tcPr>
          <w:p w14:paraId="2A71AFA4" w14:textId="77777777" w:rsidR="00E375BE" w:rsidRDefault="004313A7">
            <w:pPr>
              <w:spacing w:after="0" w:line="259" w:lineRule="auto"/>
            </w:pPr>
            <w:r>
              <w:rPr>
                <w:rFonts w:ascii="Calibri" w:hAnsi="Calibri"/>
                <w:b/>
                <w:color w:val="1B365D"/>
                <w:sz w:val="17"/>
              </w:rPr>
              <w:t>4. Executive Governance &amp; Security</w:t>
            </w:r>
          </w:p>
        </w:tc>
        <w:tc>
          <w:tcPr>
            <w:tcW w:w="6192" w:type="dxa"/>
            <w:shd w:val="clear" w:color="auto" w:fill="FFFFFF"/>
            <w:tcMar>
              <w:top w:w="65" w:type="dxa"/>
              <w:left w:w="90" w:type="dxa"/>
              <w:bottom w:w="65" w:type="dxa"/>
              <w:right w:w="90" w:type="dxa"/>
            </w:tcMar>
          </w:tcPr>
          <w:p w14:paraId="666BF507" w14:textId="77777777" w:rsidR="00E375BE" w:rsidRDefault="004313A7">
            <w:pPr>
              <w:spacing w:after="0" w:line="259" w:lineRule="auto"/>
            </w:pPr>
            <w:r>
              <w:rPr>
                <w:rFonts w:ascii="Calibri" w:hAnsi="Calibri"/>
                <w:color w:val="222222"/>
                <w:sz w:val="17"/>
              </w:rPr>
              <w:t>8-tier Role-Based Access Control (RBAC), append-only immutable audit logging, institutional email domain lock (@cjc.edu.ph), rate limiting, row-level security policies, and weekly automated backups.</w:t>
            </w:r>
          </w:p>
        </w:tc>
        <w:tc>
          <w:tcPr>
            <w:tcW w:w="1728" w:type="dxa"/>
            <w:shd w:val="clear" w:color="auto" w:fill="FFFFFF"/>
            <w:tcMar>
              <w:top w:w="65" w:type="dxa"/>
              <w:left w:w="90" w:type="dxa"/>
              <w:bottom w:w="65" w:type="dxa"/>
              <w:right w:w="90" w:type="dxa"/>
            </w:tcMar>
          </w:tcPr>
          <w:p w14:paraId="56A3EE33" w14:textId="77777777" w:rsidR="00E375BE" w:rsidRDefault="004313A7">
            <w:pPr>
              <w:spacing w:after="0" w:line="259" w:lineRule="auto"/>
            </w:pPr>
            <w:r>
              <w:rPr>
                <w:rFonts w:ascii="Calibri" w:hAnsi="Calibri"/>
                <w:color w:val="222222"/>
                <w:sz w:val="17"/>
              </w:rPr>
              <w:t>System Administrator, Audit Officers</w:t>
            </w:r>
          </w:p>
        </w:tc>
      </w:tr>
    </w:tbl>
    <w:p w14:paraId="1D7E36DF" w14:textId="77777777" w:rsidR="00E375BE" w:rsidRDefault="004313A7">
      <w:r>
        <w:br w:type="page"/>
      </w:r>
    </w:p>
    <w:p w14:paraId="0E0BD2F8" w14:textId="77777777" w:rsidR="00E375BE" w:rsidRDefault="004313A7">
      <w:pPr>
        <w:keepNext/>
        <w:pBdr>
          <w:bottom w:val="single" w:sz="8" w:space="2" w:color="1B365D"/>
        </w:pBdr>
        <w:spacing w:before="180" w:after="80" w:line="269" w:lineRule="auto"/>
      </w:pPr>
      <w:r>
        <w:rPr>
          <w:rFonts w:ascii="Calibri" w:hAnsi="Calibri"/>
          <w:b/>
          <w:color w:val="1B365D"/>
          <w:sz w:val="24"/>
        </w:rPr>
        <w:t>3. Security, Privacy &amp; Data Compliance</w:t>
      </w:r>
    </w:p>
    <w:p w14:paraId="76A93248" w14:textId="77777777" w:rsidR="00E375BE" w:rsidRDefault="004313A7">
      <w:pPr>
        <w:spacing w:after="80" w:line="269" w:lineRule="auto"/>
      </w:pPr>
      <w:r>
        <w:rPr>
          <w:rFonts w:ascii="Calibri" w:hAnsi="Calibri"/>
          <w:color w:val="222222"/>
          <w:sz w:val="19"/>
        </w:rPr>
        <w:t>Security and privacy controls are embedded directly into the database architecture, complying strictly with the Data Privacy Act of 2012 (RA 10173):</w:t>
      </w:r>
    </w:p>
    <w:p w14:paraId="53FAEB37" w14:textId="77777777" w:rsidR="00E375BE" w:rsidRDefault="004313A7">
      <w:pPr>
        <w:spacing w:after="60" w:line="259" w:lineRule="auto"/>
        <w:ind w:left="216"/>
      </w:pPr>
      <w:r>
        <w:rPr>
          <w:rFonts w:ascii="Calibri" w:hAnsi="Calibri"/>
          <w:b/>
          <w:color w:val="1B365D"/>
          <w:sz w:val="17"/>
        </w:rPr>
        <w:t xml:space="preserve">• Row-Level Security (RLS): </w:t>
      </w:r>
      <w:r>
        <w:rPr>
          <w:rFonts w:ascii="Calibri" w:hAnsi="Calibri"/>
          <w:color w:val="222222"/>
          <w:sz w:val="17"/>
        </w:rPr>
        <w:t>Database policies ensure students view only their own records, while officers access assigned organizational domains.</w:t>
      </w:r>
    </w:p>
    <w:p w14:paraId="5C1E8EF2" w14:textId="77777777" w:rsidR="00E375BE" w:rsidRDefault="004313A7">
      <w:pPr>
        <w:spacing w:after="60" w:line="259" w:lineRule="auto"/>
        <w:ind w:left="216"/>
      </w:pPr>
      <w:r>
        <w:rPr>
          <w:rFonts w:ascii="Calibri" w:hAnsi="Calibri"/>
          <w:b/>
          <w:color w:val="1B365D"/>
          <w:sz w:val="17"/>
        </w:rPr>
        <w:t xml:space="preserve">• Append-Only Audit Logging: </w:t>
      </w:r>
      <w:r>
        <w:rPr>
          <w:rFonts w:ascii="Calibri" w:hAnsi="Calibri"/>
          <w:color w:val="222222"/>
          <w:sz w:val="17"/>
        </w:rPr>
        <w:t>Financial corrections or role alterations log actor ID, timestamp, and mandatory justification.</w:t>
      </w:r>
    </w:p>
    <w:p w14:paraId="1B5EBE52" w14:textId="77777777" w:rsidR="00E375BE" w:rsidRDefault="004313A7">
      <w:pPr>
        <w:spacing w:after="60" w:line="259" w:lineRule="auto"/>
        <w:ind w:left="216"/>
      </w:pPr>
      <w:r>
        <w:rPr>
          <w:rFonts w:ascii="Calibri" w:hAnsi="Calibri"/>
          <w:b/>
          <w:color w:val="1B365D"/>
          <w:sz w:val="17"/>
        </w:rPr>
        <w:t xml:space="preserve">• Domain-Locked Registration: </w:t>
      </w:r>
      <w:r>
        <w:rPr>
          <w:rFonts w:ascii="Calibri" w:hAnsi="Calibri"/>
          <w:color w:val="222222"/>
          <w:sz w:val="17"/>
        </w:rPr>
        <w:t>Registration is restricted to valid institutional email addresses (@cjc.edu.ph) via database triggers.</w:t>
      </w:r>
    </w:p>
    <w:p w14:paraId="1CB8128D" w14:textId="77777777" w:rsidR="00E375BE" w:rsidRDefault="004313A7">
      <w:pPr>
        <w:spacing w:after="60" w:line="259" w:lineRule="auto"/>
        <w:ind w:left="216"/>
      </w:pPr>
      <w:r>
        <w:rPr>
          <w:rFonts w:ascii="Calibri" w:hAnsi="Calibri"/>
          <w:b/>
          <w:color w:val="1B365D"/>
          <w:sz w:val="17"/>
        </w:rPr>
        <w:t xml:space="preserve">• Encrypted Private Receipts: </w:t>
      </w:r>
      <w:r>
        <w:rPr>
          <w:rFonts w:ascii="Calibri" w:hAnsi="Calibri"/>
          <w:color w:val="222222"/>
          <w:sz w:val="17"/>
        </w:rPr>
        <w:t>Receipt images and document attachments are stored in private storage buckets served via authenticated tokens.</w:t>
      </w:r>
    </w:p>
    <w:p w14:paraId="5CAC7EFE" w14:textId="77777777" w:rsidR="00E375BE" w:rsidRDefault="004313A7">
      <w:pPr>
        <w:keepNext/>
        <w:pBdr>
          <w:bottom w:val="single" w:sz="8" w:space="2" w:color="1B365D"/>
        </w:pBdr>
        <w:spacing w:before="180" w:after="80" w:line="269" w:lineRule="auto"/>
      </w:pPr>
      <w:r>
        <w:rPr>
          <w:rFonts w:ascii="Calibri" w:hAnsi="Calibri"/>
          <w:b/>
          <w:color w:val="1B365D"/>
          <w:sz w:val="24"/>
        </w:rPr>
        <w:t>4. Phased Implementation Roadmap (4-Week Rollout)</w:t>
      </w:r>
    </w:p>
    <w:p w14:paraId="6090B2F5" w14:textId="77777777" w:rsidR="00E375BE" w:rsidRDefault="004313A7">
      <w:pPr>
        <w:spacing w:after="80" w:line="269" w:lineRule="auto"/>
      </w:pPr>
      <w:r>
        <w:rPr>
          <w:rFonts w:ascii="Calibri" w:hAnsi="Calibri"/>
          <w:color w:val="222222"/>
          <w:sz w:val="19"/>
        </w:rPr>
        <w:t>To guarantee an orderly rollout without disrupting routine academic operations, deployment is executed in four structured phases across four weeks:</w:t>
      </w:r>
    </w:p>
    <w:tbl>
      <w:tblPr>
        <w:tblW w:w="0" w:type="auto"/>
        <w:jc w:val="center"/>
        <w:tblBorders>
          <w:top w:val="single" w:sz="4" w:space="0" w:color="CCCCCC"/>
          <w:bottom w:val="single" w:sz="4" w:space="0" w:color="CCCCCC"/>
          <w:insideH w:val="single" w:sz="4" w:space="0" w:color="CCCCCC"/>
        </w:tblBorders>
        <w:tblLayout w:type="fixed"/>
        <w:tblLook w:val="04A0" w:firstRow="1" w:lastRow="0" w:firstColumn="1" w:lastColumn="0" w:noHBand="0" w:noVBand="1"/>
      </w:tblPr>
      <w:tblGrid>
        <w:gridCol w:w="1872"/>
        <w:gridCol w:w="6048"/>
        <w:gridCol w:w="2160"/>
      </w:tblGrid>
      <w:tr w:rsidR="00E375BE" w14:paraId="734FB965" w14:textId="77777777">
        <w:trPr>
          <w:jc w:val="center"/>
        </w:trPr>
        <w:tc>
          <w:tcPr>
            <w:tcW w:w="1872" w:type="dxa"/>
            <w:shd w:val="clear" w:color="auto" w:fill="1B365D"/>
            <w:tcMar>
              <w:top w:w="80" w:type="dxa"/>
              <w:left w:w="90" w:type="dxa"/>
              <w:bottom w:w="80" w:type="dxa"/>
              <w:right w:w="90" w:type="dxa"/>
            </w:tcMar>
          </w:tcPr>
          <w:p w14:paraId="2A2E554B" w14:textId="77777777" w:rsidR="00E375BE" w:rsidRDefault="004313A7">
            <w:pPr>
              <w:spacing w:after="0" w:line="269" w:lineRule="auto"/>
            </w:pPr>
            <w:r>
              <w:rPr>
                <w:rFonts w:ascii="Calibri" w:hAnsi="Calibri"/>
                <w:b/>
                <w:color w:val="FFFFFF"/>
                <w:sz w:val="17"/>
              </w:rPr>
              <w:t>Phase &amp; Timeline</w:t>
            </w:r>
          </w:p>
        </w:tc>
        <w:tc>
          <w:tcPr>
            <w:tcW w:w="6048" w:type="dxa"/>
            <w:shd w:val="clear" w:color="auto" w:fill="1B365D"/>
            <w:tcMar>
              <w:top w:w="80" w:type="dxa"/>
              <w:left w:w="90" w:type="dxa"/>
              <w:bottom w:w="80" w:type="dxa"/>
              <w:right w:w="90" w:type="dxa"/>
            </w:tcMar>
          </w:tcPr>
          <w:p w14:paraId="4E8AF47D" w14:textId="77777777" w:rsidR="00E375BE" w:rsidRDefault="004313A7">
            <w:pPr>
              <w:spacing w:after="0" w:line="269" w:lineRule="auto"/>
            </w:pPr>
            <w:r>
              <w:rPr>
                <w:rFonts w:ascii="Calibri" w:hAnsi="Calibri"/>
                <w:b/>
                <w:color w:val="FFFFFF"/>
                <w:sz w:val="17"/>
              </w:rPr>
              <w:t>Key Implementation Activities</w:t>
            </w:r>
          </w:p>
        </w:tc>
        <w:tc>
          <w:tcPr>
            <w:tcW w:w="2160" w:type="dxa"/>
            <w:shd w:val="clear" w:color="auto" w:fill="1B365D"/>
            <w:tcMar>
              <w:top w:w="80" w:type="dxa"/>
              <w:left w:w="90" w:type="dxa"/>
              <w:bottom w:w="80" w:type="dxa"/>
              <w:right w:w="90" w:type="dxa"/>
            </w:tcMar>
          </w:tcPr>
          <w:p w14:paraId="43D23BDF" w14:textId="77777777" w:rsidR="00E375BE" w:rsidRDefault="004313A7">
            <w:pPr>
              <w:spacing w:after="0" w:line="269" w:lineRule="auto"/>
            </w:pPr>
            <w:r>
              <w:rPr>
                <w:rFonts w:ascii="Calibri" w:hAnsi="Calibri"/>
                <w:b/>
                <w:color w:val="FFFFFF"/>
                <w:sz w:val="17"/>
              </w:rPr>
              <w:t>Primary Milestone</w:t>
            </w:r>
          </w:p>
        </w:tc>
      </w:tr>
      <w:tr w:rsidR="00E375BE" w14:paraId="18811AFC" w14:textId="77777777">
        <w:trPr>
          <w:jc w:val="center"/>
        </w:trPr>
        <w:tc>
          <w:tcPr>
            <w:tcW w:w="1872" w:type="dxa"/>
            <w:shd w:val="clear" w:color="auto" w:fill="F9FAFC"/>
            <w:tcMar>
              <w:top w:w="65" w:type="dxa"/>
              <w:left w:w="90" w:type="dxa"/>
              <w:bottom w:w="65" w:type="dxa"/>
              <w:right w:w="90" w:type="dxa"/>
            </w:tcMar>
          </w:tcPr>
          <w:p w14:paraId="54883A4C" w14:textId="77777777" w:rsidR="00E375BE" w:rsidRDefault="004313A7">
            <w:pPr>
              <w:spacing w:after="0" w:line="259" w:lineRule="auto"/>
            </w:pPr>
            <w:r>
              <w:rPr>
                <w:rFonts w:ascii="Calibri" w:hAnsi="Calibri"/>
                <w:b/>
                <w:color w:val="1B365D"/>
                <w:sz w:val="17"/>
              </w:rPr>
              <w:t>Phase 1: Week 1</w:t>
            </w:r>
            <w:r>
              <w:rPr>
                <w:rFonts w:ascii="Calibri" w:hAnsi="Calibri"/>
                <w:b/>
                <w:color w:val="1B365D"/>
                <w:sz w:val="17"/>
              </w:rPr>
              <w:br/>
              <w:t>Discovery &amp; Config</w:t>
            </w:r>
          </w:p>
        </w:tc>
        <w:tc>
          <w:tcPr>
            <w:tcW w:w="6048" w:type="dxa"/>
            <w:shd w:val="clear" w:color="auto" w:fill="F9FAFC"/>
            <w:tcMar>
              <w:top w:w="65" w:type="dxa"/>
              <w:left w:w="90" w:type="dxa"/>
              <w:bottom w:w="65" w:type="dxa"/>
              <w:right w:w="90" w:type="dxa"/>
            </w:tcMar>
          </w:tcPr>
          <w:p w14:paraId="093150F3" w14:textId="77777777" w:rsidR="00E375BE" w:rsidRDefault="004313A7">
            <w:pPr>
              <w:spacing w:after="0" w:line="259" w:lineRule="auto"/>
            </w:pPr>
            <w:r>
              <w:rPr>
                <w:rFonts w:ascii="Calibri" w:hAnsi="Calibri"/>
                <w:color w:val="222222"/>
                <w:sz w:val="17"/>
              </w:rPr>
              <w:t>Initial discovery, institution branding setup (logos, letterhead banners), database schema migration, email domain locking, and role permission mapping.</w:t>
            </w:r>
          </w:p>
        </w:tc>
        <w:tc>
          <w:tcPr>
            <w:tcW w:w="2160" w:type="dxa"/>
            <w:shd w:val="clear" w:color="auto" w:fill="F9FAFC"/>
            <w:tcMar>
              <w:top w:w="65" w:type="dxa"/>
              <w:left w:w="90" w:type="dxa"/>
              <w:bottom w:w="65" w:type="dxa"/>
              <w:right w:w="90" w:type="dxa"/>
            </w:tcMar>
          </w:tcPr>
          <w:p w14:paraId="43FB3DDD" w14:textId="77777777" w:rsidR="00E375BE" w:rsidRDefault="004313A7">
            <w:pPr>
              <w:spacing w:after="0" w:line="259" w:lineRule="auto"/>
            </w:pPr>
            <w:r>
              <w:rPr>
                <w:rFonts w:ascii="Calibri" w:hAnsi="Calibri"/>
                <w:b/>
                <w:color w:val="1B365D"/>
                <w:sz w:val="17"/>
              </w:rPr>
              <w:t>Configured Environment</w:t>
            </w:r>
          </w:p>
        </w:tc>
      </w:tr>
      <w:tr w:rsidR="00E375BE" w14:paraId="2A8F3DB7" w14:textId="77777777">
        <w:trPr>
          <w:jc w:val="center"/>
        </w:trPr>
        <w:tc>
          <w:tcPr>
            <w:tcW w:w="1872" w:type="dxa"/>
            <w:shd w:val="clear" w:color="auto" w:fill="FFFFFF"/>
            <w:tcMar>
              <w:top w:w="65" w:type="dxa"/>
              <w:left w:w="90" w:type="dxa"/>
              <w:bottom w:w="65" w:type="dxa"/>
              <w:right w:w="90" w:type="dxa"/>
            </w:tcMar>
          </w:tcPr>
          <w:p w14:paraId="2BF4E4E7" w14:textId="77777777" w:rsidR="00E375BE" w:rsidRDefault="004313A7">
            <w:pPr>
              <w:spacing w:after="0" w:line="259" w:lineRule="auto"/>
            </w:pPr>
            <w:r>
              <w:rPr>
                <w:rFonts w:ascii="Calibri" w:hAnsi="Calibri"/>
                <w:b/>
                <w:color w:val="1B365D"/>
                <w:sz w:val="17"/>
              </w:rPr>
              <w:t>Phase 2: Week 2</w:t>
            </w:r>
            <w:r>
              <w:rPr>
                <w:rFonts w:ascii="Calibri" w:hAnsi="Calibri"/>
                <w:b/>
                <w:color w:val="1B365D"/>
                <w:sz w:val="17"/>
              </w:rPr>
              <w:br/>
              <w:t>Data &amp; Prospectus</w:t>
            </w:r>
          </w:p>
        </w:tc>
        <w:tc>
          <w:tcPr>
            <w:tcW w:w="6048" w:type="dxa"/>
            <w:shd w:val="clear" w:color="auto" w:fill="FFFFFF"/>
            <w:tcMar>
              <w:top w:w="65" w:type="dxa"/>
              <w:left w:w="90" w:type="dxa"/>
              <w:bottom w:w="65" w:type="dxa"/>
              <w:right w:w="90" w:type="dxa"/>
            </w:tcMar>
          </w:tcPr>
          <w:p w14:paraId="6CFE43F6" w14:textId="77777777" w:rsidR="00E375BE" w:rsidRDefault="004313A7">
            <w:pPr>
              <w:spacing w:after="0" w:line="259" w:lineRule="auto"/>
            </w:pPr>
            <w:r>
              <w:rPr>
                <w:rFonts w:ascii="Calibri" w:hAnsi="Calibri"/>
                <w:color w:val="222222"/>
                <w:sz w:val="17"/>
              </w:rPr>
              <w:t>Encoding degree program prospectus structures, prerequisite rules, student roster CSV import, and initial general fund baseline setup.</w:t>
            </w:r>
          </w:p>
        </w:tc>
        <w:tc>
          <w:tcPr>
            <w:tcW w:w="2160" w:type="dxa"/>
            <w:shd w:val="clear" w:color="auto" w:fill="FFFFFF"/>
            <w:tcMar>
              <w:top w:w="65" w:type="dxa"/>
              <w:left w:w="90" w:type="dxa"/>
              <w:bottom w:w="65" w:type="dxa"/>
              <w:right w:w="90" w:type="dxa"/>
            </w:tcMar>
          </w:tcPr>
          <w:p w14:paraId="71823098" w14:textId="77777777" w:rsidR="00E375BE" w:rsidRDefault="004313A7">
            <w:pPr>
              <w:spacing w:after="0" w:line="259" w:lineRule="auto"/>
            </w:pPr>
            <w:r>
              <w:rPr>
                <w:rFonts w:ascii="Calibri" w:hAnsi="Calibri"/>
                <w:b/>
                <w:color w:val="1B365D"/>
                <w:sz w:val="17"/>
              </w:rPr>
              <w:t>Populated Core Database</w:t>
            </w:r>
          </w:p>
        </w:tc>
      </w:tr>
      <w:tr w:rsidR="00E375BE" w14:paraId="721FFD11" w14:textId="77777777">
        <w:trPr>
          <w:jc w:val="center"/>
        </w:trPr>
        <w:tc>
          <w:tcPr>
            <w:tcW w:w="1872" w:type="dxa"/>
            <w:shd w:val="clear" w:color="auto" w:fill="F9FAFC"/>
            <w:tcMar>
              <w:top w:w="65" w:type="dxa"/>
              <w:left w:w="90" w:type="dxa"/>
              <w:bottom w:w="65" w:type="dxa"/>
              <w:right w:w="90" w:type="dxa"/>
            </w:tcMar>
          </w:tcPr>
          <w:p w14:paraId="543F711E" w14:textId="77777777" w:rsidR="00E375BE" w:rsidRDefault="004313A7">
            <w:pPr>
              <w:spacing w:after="0" w:line="259" w:lineRule="auto"/>
            </w:pPr>
            <w:r>
              <w:rPr>
                <w:rFonts w:ascii="Calibri" w:hAnsi="Calibri"/>
                <w:b/>
                <w:color w:val="1B365D"/>
                <w:sz w:val="17"/>
              </w:rPr>
              <w:t>Phase 3: Week 3</w:t>
            </w:r>
            <w:r>
              <w:rPr>
                <w:rFonts w:ascii="Calibri" w:hAnsi="Calibri"/>
                <w:b/>
                <w:color w:val="1B365D"/>
                <w:sz w:val="17"/>
              </w:rPr>
              <w:br/>
              <w:t>Pilot &amp; Training</w:t>
            </w:r>
          </w:p>
        </w:tc>
        <w:tc>
          <w:tcPr>
            <w:tcW w:w="6048" w:type="dxa"/>
            <w:shd w:val="clear" w:color="auto" w:fill="F9FAFC"/>
            <w:tcMar>
              <w:top w:w="65" w:type="dxa"/>
              <w:left w:w="90" w:type="dxa"/>
              <w:bottom w:w="65" w:type="dxa"/>
              <w:right w:w="90" w:type="dxa"/>
            </w:tcMar>
          </w:tcPr>
          <w:p w14:paraId="20E36B5C" w14:textId="77777777" w:rsidR="00E375BE" w:rsidRDefault="004313A7">
            <w:pPr>
              <w:spacing w:after="0" w:line="259" w:lineRule="auto"/>
            </w:pPr>
            <w:r>
              <w:rPr>
                <w:rFonts w:ascii="Calibri" w:hAnsi="Calibri"/>
                <w:color w:val="222222"/>
                <w:sz w:val="17"/>
              </w:rPr>
              <w:t>Conducting pilot load evaluation with one department, user acceptance testing (UAT), training workshops for Program Heads, Cashiers, and Officers.</w:t>
            </w:r>
          </w:p>
        </w:tc>
        <w:tc>
          <w:tcPr>
            <w:tcW w:w="2160" w:type="dxa"/>
            <w:shd w:val="clear" w:color="auto" w:fill="F9FAFC"/>
            <w:tcMar>
              <w:top w:w="65" w:type="dxa"/>
              <w:left w:w="90" w:type="dxa"/>
              <w:bottom w:w="65" w:type="dxa"/>
              <w:right w:w="90" w:type="dxa"/>
            </w:tcMar>
          </w:tcPr>
          <w:p w14:paraId="4F9A6BA2" w14:textId="77777777" w:rsidR="00E375BE" w:rsidRDefault="004313A7">
            <w:pPr>
              <w:spacing w:after="0" w:line="259" w:lineRule="auto"/>
            </w:pPr>
            <w:r>
              <w:rPr>
                <w:rFonts w:ascii="Calibri" w:hAnsi="Calibri"/>
                <w:b/>
                <w:color w:val="1B365D"/>
                <w:sz w:val="17"/>
              </w:rPr>
              <w:t>Signed UAT &amp; Readiness</w:t>
            </w:r>
          </w:p>
        </w:tc>
      </w:tr>
      <w:tr w:rsidR="00E375BE" w14:paraId="193D3D2E" w14:textId="77777777">
        <w:trPr>
          <w:jc w:val="center"/>
        </w:trPr>
        <w:tc>
          <w:tcPr>
            <w:tcW w:w="1872" w:type="dxa"/>
            <w:shd w:val="clear" w:color="auto" w:fill="FFFFFF"/>
            <w:tcMar>
              <w:top w:w="65" w:type="dxa"/>
              <w:left w:w="90" w:type="dxa"/>
              <w:bottom w:w="65" w:type="dxa"/>
              <w:right w:w="90" w:type="dxa"/>
            </w:tcMar>
          </w:tcPr>
          <w:p w14:paraId="503C5F80" w14:textId="77777777" w:rsidR="00E375BE" w:rsidRDefault="004313A7">
            <w:pPr>
              <w:spacing w:after="0" w:line="259" w:lineRule="auto"/>
            </w:pPr>
            <w:r>
              <w:rPr>
                <w:rFonts w:ascii="Calibri" w:hAnsi="Calibri"/>
                <w:b/>
                <w:color w:val="1B365D"/>
                <w:sz w:val="17"/>
              </w:rPr>
              <w:t>Phase 4: Week 4</w:t>
            </w:r>
            <w:r>
              <w:rPr>
                <w:rFonts w:ascii="Calibri" w:hAnsi="Calibri"/>
                <w:b/>
                <w:color w:val="1B365D"/>
                <w:sz w:val="17"/>
              </w:rPr>
              <w:br/>
              <w:t>Go-Live &amp; Support</w:t>
            </w:r>
          </w:p>
        </w:tc>
        <w:tc>
          <w:tcPr>
            <w:tcW w:w="6048" w:type="dxa"/>
            <w:shd w:val="clear" w:color="auto" w:fill="FFFFFF"/>
            <w:tcMar>
              <w:top w:w="65" w:type="dxa"/>
              <w:left w:w="90" w:type="dxa"/>
              <w:bottom w:w="65" w:type="dxa"/>
              <w:right w:w="90" w:type="dxa"/>
            </w:tcMar>
          </w:tcPr>
          <w:p w14:paraId="372881C0" w14:textId="77777777" w:rsidR="00E375BE" w:rsidRDefault="004313A7">
            <w:pPr>
              <w:spacing w:after="0" w:line="259" w:lineRule="auto"/>
            </w:pPr>
            <w:r>
              <w:rPr>
                <w:rFonts w:ascii="Calibri" w:hAnsi="Calibri"/>
                <w:color w:val="222222"/>
                <w:sz w:val="17"/>
              </w:rPr>
              <w:t>Full institutional production deployment, administrator console handover, SSL verification, automated backup activation, and 1-year support launch.</w:t>
            </w:r>
          </w:p>
        </w:tc>
        <w:tc>
          <w:tcPr>
            <w:tcW w:w="2160" w:type="dxa"/>
            <w:shd w:val="clear" w:color="auto" w:fill="FFFFFF"/>
            <w:tcMar>
              <w:top w:w="65" w:type="dxa"/>
              <w:left w:w="90" w:type="dxa"/>
              <w:bottom w:w="65" w:type="dxa"/>
              <w:right w:w="90" w:type="dxa"/>
            </w:tcMar>
          </w:tcPr>
          <w:p w14:paraId="28066AD5" w14:textId="77777777" w:rsidR="00E375BE" w:rsidRDefault="004313A7">
            <w:pPr>
              <w:spacing w:after="0" w:line="259" w:lineRule="auto"/>
            </w:pPr>
            <w:r>
              <w:rPr>
                <w:rFonts w:ascii="Calibri" w:hAnsi="Calibri"/>
                <w:b/>
                <w:color w:val="1B365D"/>
                <w:sz w:val="17"/>
              </w:rPr>
              <w:t>Production Go-Live</w:t>
            </w:r>
          </w:p>
        </w:tc>
      </w:tr>
    </w:tbl>
    <w:p w14:paraId="5D60D258" w14:textId="77777777" w:rsidR="00E375BE" w:rsidRDefault="004313A7">
      <w:pPr>
        <w:keepNext/>
        <w:pBdr>
          <w:bottom w:val="single" w:sz="8" w:space="2" w:color="1B365D"/>
        </w:pBdr>
        <w:spacing w:before="180" w:after="80" w:line="269" w:lineRule="auto"/>
      </w:pPr>
      <w:r>
        <w:rPr>
          <w:rFonts w:ascii="Calibri" w:hAnsi="Calibri"/>
          <w:b/>
          <w:color w:val="1B365D"/>
          <w:sz w:val="24"/>
        </w:rPr>
        <w:t>5. Institutional Budget Proposal (₱18,500.00 Turnkey Package)</w:t>
      </w:r>
    </w:p>
    <w:p w14:paraId="6672627E" w14:textId="77777777" w:rsidR="00E375BE" w:rsidRDefault="004313A7">
      <w:pPr>
        <w:spacing w:after="80" w:line="269" w:lineRule="auto"/>
      </w:pPr>
      <w:r>
        <w:rPr>
          <w:rFonts w:ascii="Calibri" w:hAnsi="Calibri"/>
          <w:color w:val="222222"/>
          <w:sz w:val="19"/>
        </w:rPr>
        <w:t>Because the core system architecture is fully pre-built and operational, the adopting institution incurs ZERO software custom-development costs. The itemized budget below represents a turnkey deployment package spanning configuration, database migration, training, and a 1-year maintenance SLA.</w:t>
      </w:r>
    </w:p>
    <w:tbl>
      <w:tblPr>
        <w:tblW w:w="0" w:type="auto"/>
        <w:jc w:val="center"/>
        <w:tblBorders>
          <w:top w:val="single" w:sz="4" w:space="0" w:color="1B365D"/>
          <w:bottom w:val="single" w:sz="4" w:space="0" w:color="1B365D"/>
          <w:insideH w:val="single" w:sz="4" w:space="0" w:color="1B365D"/>
        </w:tblBorders>
        <w:tblLayout w:type="fixed"/>
        <w:tblLook w:val="04A0" w:firstRow="1" w:lastRow="0" w:firstColumn="1" w:lastColumn="0" w:noHBand="0" w:noVBand="1"/>
      </w:tblPr>
      <w:tblGrid>
        <w:gridCol w:w="2160"/>
        <w:gridCol w:w="6048"/>
        <w:gridCol w:w="1872"/>
      </w:tblGrid>
      <w:tr w:rsidR="00E375BE" w14:paraId="1FE7E805" w14:textId="77777777">
        <w:trPr>
          <w:jc w:val="center"/>
        </w:trPr>
        <w:tc>
          <w:tcPr>
            <w:tcW w:w="2160" w:type="dxa"/>
            <w:shd w:val="clear" w:color="auto" w:fill="1B365D"/>
            <w:tcMar>
              <w:top w:w="80" w:type="dxa"/>
              <w:left w:w="90" w:type="dxa"/>
              <w:bottom w:w="80" w:type="dxa"/>
              <w:right w:w="90" w:type="dxa"/>
            </w:tcMar>
          </w:tcPr>
          <w:p w14:paraId="4D396486" w14:textId="77777777" w:rsidR="00E375BE" w:rsidRDefault="004313A7">
            <w:pPr>
              <w:spacing w:after="0" w:line="269" w:lineRule="auto"/>
            </w:pPr>
            <w:r>
              <w:rPr>
                <w:rFonts w:ascii="Calibri" w:hAnsi="Calibri"/>
                <w:b/>
                <w:color w:val="FFFFFF"/>
                <w:sz w:val="17"/>
              </w:rPr>
              <w:t>Budget Component</w:t>
            </w:r>
          </w:p>
        </w:tc>
        <w:tc>
          <w:tcPr>
            <w:tcW w:w="6048" w:type="dxa"/>
            <w:shd w:val="clear" w:color="auto" w:fill="1B365D"/>
            <w:tcMar>
              <w:top w:w="80" w:type="dxa"/>
              <w:left w:w="90" w:type="dxa"/>
              <w:bottom w:w="80" w:type="dxa"/>
              <w:right w:w="90" w:type="dxa"/>
            </w:tcMar>
          </w:tcPr>
          <w:p w14:paraId="2DD23FF9" w14:textId="77777777" w:rsidR="00E375BE" w:rsidRDefault="004313A7">
            <w:pPr>
              <w:spacing w:after="0" w:line="269" w:lineRule="auto"/>
            </w:pPr>
            <w:r>
              <w:rPr>
                <w:rFonts w:ascii="Calibri" w:hAnsi="Calibri"/>
                <w:b/>
                <w:color w:val="FFFFFF"/>
                <w:sz w:val="17"/>
              </w:rPr>
              <w:t>Scope of Deliverables &amp; Services Included</w:t>
            </w:r>
          </w:p>
        </w:tc>
        <w:tc>
          <w:tcPr>
            <w:tcW w:w="1872" w:type="dxa"/>
            <w:shd w:val="clear" w:color="auto" w:fill="1B365D"/>
            <w:tcMar>
              <w:top w:w="80" w:type="dxa"/>
              <w:left w:w="90" w:type="dxa"/>
              <w:bottom w:w="80" w:type="dxa"/>
              <w:right w:w="90" w:type="dxa"/>
            </w:tcMar>
          </w:tcPr>
          <w:p w14:paraId="75ECFE62" w14:textId="77777777" w:rsidR="00E375BE" w:rsidRDefault="004313A7">
            <w:pPr>
              <w:spacing w:after="0" w:line="269" w:lineRule="auto"/>
              <w:jc w:val="right"/>
            </w:pPr>
            <w:r>
              <w:rPr>
                <w:rFonts w:ascii="Calibri" w:hAnsi="Calibri"/>
                <w:b/>
                <w:color w:val="FFFFFF"/>
                <w:sz w:val="17"/>
              </w:rPr>
              <w:t>Cost (PHP)</w:t>
            </w:r>
          </w:p>
        </w:tc>
      </w:tr>
      <w:tr w:rsidR="00E375BE" w14:paraId="310B6230" w14:textId="77777777">
        <w:trPr>
          <w:jc w:val="center"/>
        </w:trPr>
        <w:tc>
          <w:tcPr>
            <w:tcW w:w="2160" w:type="dxa"/>
            <w:shd w:val="clear" w:color="auto" w:fill="F9FAFC"/>
            <w:tcMar>
              <w:top w:w="65" w:type="dxa"/>
              <w:left w:w="90" w:type="dxa"/>
              <w:bottom w:w="65" w:type="dxa"/>
              <w:right w:w="90" w:type="dxa"/>
            </w:tcMar>
          </w:tcPr>
          <w:p w14:paraId="1EBCC962" w14:textId="77777777" w:rsidR="00E375BE" w:rsidRDefault="004313A7">
            <w:pPr>
              <w:spacing w:after="0" w:line="259" w:lineRule="auto"/>
            </w:pPr>
            <w:r>
              <w:rPr>
                <w:rFonts w:ascii="Calibri" w:hAnsi="Calibri"/>
                <w:b/>
                <w:color w:val="1B365D"/>
                <w:sz w:val="17"/>
              </w:rPr>
              <w:t>1. System Branding &amp; Configuration</w:t>
            </w:r>
          </w:p>
        </w:tc>
        <w:tc>
          <w:tcPr>
            <w:tcW w:w="6048" w:type="dxa"/>
            <w:shd w:val="clear" w:color="auto" w:fill="F9FAFC"/>
            <w:tcMar>
              <w:top w:w="65" w:type="dxa"/>
              <w:left w:w="90" w:type="dxa"/>
              <w:bottom w:w="65" w:type="dxa"/>
              <w:right w:w="90" w:type="dxa"/>
            </w:tcMar>
          </w:tcPr>
          <w:p w14:paraId="4B86659B" w14:textId="77777777" w:rsidR="00E375BE" w:rsidRDefault="004313A7">
            <w:pPr>
              <w:spacing w:after="0" w:line="259" w:lineRule="auto"/>
            </w:pPr>
            <w:r>
              <w:rPr>
                <w:rFonts w:ascii="Calibri" w:hAnsi="Calibri"/>
                <w:color w:val="222222"/>
                <w:sz w:val="17"/>
              </w:rPr>
              <w:t>Customization of institutional branding (school logo, seal, official letterhead banners), email domain lock setup (@cjc.edu.ph), and SMTP mail server integration.</w:t>
            </w:r>
          </w:p>
        </w:tc>
        <w:tc>
          <w:tcPr>
            <w:tcW w:w="1872" w:type="dxa"/>
            <w:shd w:val="clear" w:color="auto" w:fill="F9FAFC"/>
            <w:tcMar>
              <w:top w:w="65" w:type="dxa"/>
              <w:left w:w="90" w:type="dxa"/>
              <w:bottom w:w="65" w:type="dxa"/>
              <w:right w:w="90" w:type="dxa"/>
            </w:tcMar>
          </w:tcPr>
          <w:p w14:paraId="7DF4BD34" w14:textId="77777777" w:rsidR="00E375BE" w:rsidRDefault="004313A7">
            <w:pPr>
              <w:spacing w:after="0" w:line="259" w:lineRule="auto"/>
              <w:jc w:val="right"/>
            </w:pPr>
            <w:r>
              <w:rPr>
                <w:rFonts w:ascii="Calibri" w:hAnsi="Calibri"/>
                <w:color w:val="222222"/>
                <w:sz w:val="17"/>
              </w:rPr>
              <w:t>₱</w:t>
            </w:r>
            <w:r>
              <w:rPr>
                <w:rFonts w:ascii="Calibri" w:hAnsi="Calibri"/>
                <w:color w:val="222222"/>
                <w:sz w:val="17"/>
              </w:rPr>
              <w:t>4,500.00</w:t>
            </w:r>
          </w:p>
        </w:tc>
      </w:tr>
      <w:tr w:rsidR="00E375BE" w14:paraId="653AAD2D" w14:textId="77777777">
        <w:trPr>
          <w:jc w:val="center"/>
        </w:trPr>
        <w:tc>
          <w:tcPr>
            <w:tcW w:w="2160" w:type="dxa"/>
            <w:shd w:val="clear" w:color="auto" w:fill="FFFFFF"/>
            <w:tcMar>
              <w:top w:w="65" w:type="dxa"/>
              <w:left w:w="90" w:type="dxa"/>
              <w:bottom w:w="65" w:type="dxa"/>
              <w:right w:w="90" w:type="dxa"/>
            </w:tcMar>
          </w:tcPr>
          <w:p w14:paraId="1CC28D4D" w14:textId="77777777" w:rsidR="00E375BE" w:rsidRDefault="004313A7">
            <w:pPr>
              <w:spacing w:after="0" w:line="259" w:lineRule="auto"/>
            </w:pPr>
            <w:r>
              <w:rPr>
                <w:rFonts w:ascii="Calibri" w:hAnsi="Calibri"/>
                <w:b/>
                <w:color w:val="1B365D"/>
                <w:sz w:val="17"/>
              </w:rPr>
              <w:t>2. Database Setup &amp; Roster Migration</w:t>
            </w:r>
          </w:p>
        </w:tc>
        <w:tc>
          <w:tcPr>
            <w:tcW w:w="6048" w:type="dxa"/>
            <w:shd w:val="clear" w:color="auto" w:fill="FFFFFF"/>
            <w:tcMar>
              <w:top w:w="65" w:type="dxa"/>
              <w:left w:w="90" w:type="dxa"/>
              <w:bottom w:w="65" w:type="dxa"/>
              <w:right w:w="90" w:type="dxa"/>
            </w:tcMar>
          </w:tcPr>
          <w:p w14:paraId="6EB38FD9" w14:textId="77777777" w:rsidR="00E375BE" w:rsidRDefault="004313A7">
            <w:pPr>
              <w:spacing w:after="0" w:line="259" w:lineRule="auto"/>
            </w:pPr>
            <w:r>
              <w:rPr>
                <w:rFonts w:ascii="Calibri" w:hAnsi="Calibri"/>
                <w:color w:val="222222"/>
                <w:sz w:val="17"/>
              </w:rPr>
              <w:t>Supabase PostgreSQL cloud instance provisioning, database schema migration execution (32 migration files), student roster CSV import, and curriculum prospectus encoding.</w:t>
            </w:r>
          </w:p>
        </w:tc>
        <w:tc>
          <w:tcPr>
            <w:tcW w:w="1872" w:type="dxa"/>
            <w:shd w:val="clear" w:color="auto" w:fill="FFFFFF"/>
            <w:tcMar>
              <w:top w:w="65" w:type="dxa"/>
              <w:left w:w="90" w:type="dxa"/>
              <w:bottom w:w="65" w:type="dxa"/>
              <w:right w:w="90" w:type="dxa"/>
            </w:tcMar>
          </w:tcPr>
          <w:p w14:paraId="79A25F9B" w14:textId="77777777" w:rsidR="00E375BE" w:rsidRDefault="004313A7">
            <w:pPr>
              <w:spacing w:after="0" w:line="259" w:lineRule="auto"/>
              <w:jc w:val="right"/>
            </w:pPr>
            <w:r>
              <w:rPr>
                <w:rFonts w:ascii="Calibri" w:hAnsi="Calibri"/>
                <w:color w:val="222222"/>
                <w:sz w:val="17"/>
              </w:rPr>
              <w:t>₱</w:t>
            </w:r>
            <w:r>
              <w:rPr>
                <w:rFonts w:ascii="Calibri" w:hAnsi="Calibri"/>
                <w:color w:val="222222"/>
                <w:sz w:val="17"/>
              </w:rPr>
              <w:t>5,000.00</w:t>
            </w:r>
          </w:p>
        </w:tc>
      </w:tr>
      <w:tr w:rsidR="00E375BE" w14:paraId="7FBDA568" w14:textId="77777777">
        <w:trPr>
          <w:jc w:val="center"/>
        </w:trPr>
        <w:tc>
          <w:tcPr>
            <w:tcW w:w="2160" w:type="dxa"/>
            <w:shd w:val="clear" w:color="auto" w:fill="F9FAFC"/>
            <w:tcMar>
              <w:top w:w="65" w:type="dxa"/>
              <w:left w:w="90" w:type="dxa"/>
              <w:bottom w:w="65" w:type="dxa"/>
              <w:right w:w="90" w:type="dxa"/>
            </w:tcMar>
          </w:tcPr>
          <w:p w14:paraId="17127888" w14:textId="77777777" w:rsidR="00E375BE" w:rsidRDefault="004313A7">
            <w:pPr>
              <w:spacing w:after="0" w:line="259" w:lineRule="auto"/>
            </w:pPr>
            <w:r>
              <w:rPr>
                <w:rFonts w:ascii="Calibri" w:hAnsi="Calibri"/>
                <w:b/>
                <w:color w:val="1B365D"/>
                <w:sz w:val="17"/>
              </w:rPr>
              <w:t>3. Institutional Training &amp; Handover</w:t>
            </w:r>
          </w:p>
        </w:tc>
        <w:tc>
          <w:tcPr>
            <w:tcW w:w="6048" w:type="dxa"/>
            <w:shd w:val="clear" w:color="auto" w:fill="F9FAFC"/>
            <w:tcMar>
              <w:top w:w="65" w:type="dxa"/>
              <w:left w:w="90" w:type="dxa"/>
              <w:bottom w:w="65" w:type="dxa"/>
              <w:right w:w="90" w:type="dxa"/>
            </w:tcMar>
          </w:tcPr>
          <w:p w14:paraId="3AA6C370" w14:textId="77777777" w:rsidR="00E375BE" w:rsidRDefault="004313A7">
            <w:pPr>
              <w:spacing w:after="0" w:line="259" w:lineRule="auto"/>
            </w:pPr>
            <w:r>
              <w:rPr>
                <w:rFonts w:ascii="Calibri" w:hAnsi="Calibri"/>
                <w:color w:val="222222"/>
                <w:sz w:val="17"/>
              </w:rPr>
              <w:t>Role-based training workshops for Program Heads, Cashiers, Officers, and System Administrators. Provision of complete documentation manuals and administrator guides.</w:t>
            </w:r>
          </w:p>
        </w:tc>
        <w:tc>
          <w:tcPr>
            <w:tcW w:w="1872" w:type="dxa"/>
            <w:shd w:val="clear" w:color="auto" w:fill="F9FAFC"/>
            <w:tcMar>
              <w:top w:w="65" w:type="dxa"/>
              <w:left w:w="90" w:type="dxa"/>
              <w:bottom w:w="65" w:type="dxa"/>
              <w:right w:w="90" w:type="dxa"/>
            </w:tcMar>
          </w:tcPr>
          <w:p w14:paraId="2AA464D9" w14:textId="77777777" w:rsidR="00E375BE" w:rsidRDefault="004313A7">
            <w:pPr>
              <w:spacing w:after="0" w:line="259" w:lineRule="auto"/>
              <w:jc w:val="right"/>
            </w:pPr>
            <w:r>
              <w:rPr>
                <w:rFonts w:ascii="Calibri" w:hAnsi="Calibri"/>
                <w:color w:val="222222"/>
                <w:sz w:val="17"/>
              </w:rPr>
              <w:t>₱</w:t>
            </w:r>
            <w:r>
              <w:rPr>
                <w:rFonts w:ascii="Calibri" w:hAnsi="Calibri"/>
                <w:color w:val="222222"/>
                <w:sz w:val="17"/>
              </w:rPr>
              <w:t>4,000.00</w:t>
            </w:r>
          </w:p>
        </w:tc>
      </w:tr>
      <w:tr w:rsidR="00E375BE" w14:paraId="61A7E2B2" w14:textId="77777777">
        <w:trPr>
          <w:jc w:val="center"/>
        </w:trPr>
        <w:tc>
          <w:tcPr>
            <w:tcW w:w="2160" w:type="dxa"/>
            <w:shd w:val="clear" w:color="auto" w:fill="FFFFFF"/>
            <w:tcMar>
              <w:top w:w="65" w:type="dxa"/>
              <w:left w:w="90" w:type="dxa"/>
              <w:bottom w:w="65" w:type="dxa"/>
              <w:right w:w="90" w:type="dxa"/>
            </w:tcMar>
          </w:tcPr>
          <w:p w14:paraId="297F790C" w14:textId="77777777" w:rsidR="00E375BE" w:rsidRDefault="004313A7">
            <w:pPr>
              <w:spacing w:after="0" w:line="259" w:lineRule="auto"/>
            </w:pPr>
            <w:r>
              <w:rPr>
                <w:rFonts w:ascii="Calibri" w:hAnsi="Calibri"/>
                <w:b/>
                <w:color w:val="1B365D"/>
                <w:sz w:val="17"/>
              </w:rPr>
              <w:t>4. Security Hardening &amp; 1-Yr Support</w:t>
            </w:r>
          </w:p>
        </w:tc>
        <w:tc>
          <w:tcPr>
            <w:tcW w:w="6048" w:type="dxa"/>
            <w:shd w:val="clear" w:color="auto" w:fill="FFFFFF"/>
            <w:tcMar>
              <w:top w:w="65" w:type="dxa"/>
              <w:left w:w="90" w:type="dxa"/>
              <w:bottom w:w="65" w:type="dxa"/>
              <w:right w:w="90" w:type="dxa"/>
            </w:tcMar>
          </w:tcPr>
          <w:p w14:paraId="1A539B5A" w14:textId="77777777" w:rsidR="00E375BE" w:rsidRDefault="004313A7">
            <w:pPr>
              <w:spacing w:after="0" w:line="259" w:lineRule="auto"/>
            </w:pPr>
            <w:r>
              <w:rPr>
                <w:rFonts w:ascii="Calibri" w:hAnsi="Calibri"/>
                <w:color w:val="222222"/>
                <w:sz w:val="17"/>
              </w:rPr>
              <w:t>SSL security configuration, automated weekly encrypted backup workflows, rate-limiting rules, priority bug fixes, and 12-month technical support agreement.</w:t>
            </w:r>
          </w:p>
        </w:tc>
        <w:tc>
          <w:tcPr>
            <w:tcW w:w="1872" w:type="dxa"/>
            <w:shd w:val="clear" w:color="auto" w:fill="FFFFFF"/>
            <w:tcMar>
              <w:top w:w="65" w:type="dxa"/>
              <w:left w:w="90" w:type="dxa"/>
              <w:bottom w:w="65" w:type="dxa"/>
              <w:right w:w="90" w:type="dxa"/>
            </w:tcMar>
          </w:tcPr>
          <w:p w14:paraId="147B84F2" w14:textId="77777777" w:rsidR="00E375BE" w:rsidRDefault="004313A7">
            <w:pPr>
              <w:spacing w:after="0" w:line="259" w:lineRule="auto"/>
              <w:jc w:val="right"/>
            </w:pPr>
            <w:r>
              <w:rPr>
                <w:rFonts w:ascii="Calibri" w:hAnsi="Calibri"/>
                <w:color w:val="222222"/>
                <w:sz w:val="17"/>
              </w:rPr>
              <w:t>₱</w:t>
            </w:r>
            <w:r>
              <w:rPr>
                <w:rFonts w:ascii="Calibri" w:hAnsi="Calibri"/>
                <w:color w:val="222222"/>
                <w:sz w:val="17"/>
              </w:rPr>
              <w:t>5,000.00</w:t>
            </w:r>
          </w:p>
        </w:tc>
      </w:tr>
      <w:tr w:rsidR="00E375BE" w14:paraId="67BF2C09" w14:textId="77777777">
        <w:trPr>
          <w:jc w:val="center"/>
        </w:trPr>
        <w:tc>
          <w:tcPr>
            <w:tcW w:w="2160" w:type="dxa"/>
            <w:shd w:val="clear" w:color="auto" w:fill="F4F6F9"/>
            <w:tcMar>
              <w:top w:w="80" w:type="dxa"/>
              <w:left w:w="90" w:type="dxa"/>
              <w:bottom w:w="80" w:type="dxa"/>
              <w:right w:w="90" w:type="dxa"/>
            </w:tcMar>
          </w:tcPr>
          <w:p w14:paraId="00B0BC02" w14:textId="77777777" w:rsidR="00E375BE" w:rsidRDefault="004313A7">
            <w:pPr>
              <w:spacing w:after="0" w:line="259" w:lineRule="auto"/>
            </w:pPr>
            <w:r>
              <w:rPr>
                <w:rFonts w:ascii="Calibri" w:hAnsi="Calibri"/>
                <w:b/>
                <w:color w:val="1B365D"/>
                <w:sz w:val="18"/>
              </w:rPr>
              <w:t>TOTAL INVESTMENT</w:t>
            </w:r>
          </w:p>
        </w:tc>
        <w:tc>
          <w:tcPr>
            <w:tcW w:w="6048" w:type="dxa"/>
            <w:shd w:val="clear" w:color="auto" w:fill="F4F6F9"/>
            <w:tcMar>
              <w:top w:w="80" w:type="dxa"/>
              <w:left w:w="90" w:type="dxa"/>
              <w:bottom w:w="80" w:type="dxa"/>
              <w:right w:w="90" w:type="dxa"/>
            </w:tcMar>
          </w:tcPr>
          <w:p w14:paraId="17293713" w14:textId="77777777" w:rsidR="00E375BE" w:rsidRDefault="004313A7">
            <w:pPr>
              <w:spacing w:after="0" w:line="259" w:lineRule="auto"/>
            </w:pPr>
            <w:r>
              <w:rPr>
                <w:rFonts w:ascii="Calibri" w:hAnsi="Calibri"/>
                <w:b/>
                <w:color w:val="222222"/>
                <w:sz w:val="18"/>
              </w:rPr>
              <w:t>Complete, turnkey institutional deployment including configuration, training, documentation, and 1-year dedicated technical support. Zero recurring platform fees.</w:t>
            </w:r>
          </w:p>
        </w:tc>
        <w:tc>
          <w:tcPr>
            <w:tcW w:w="1872" w:type="dxa"/>
            <w:shd w:val="clear" w:color="auto" w:fill="F4F6F9"/>
            <w:tcMar>
              <w:top w:w="80" w:type="dxa"/>
              <w:left w:w="90" w:type="dxa"/>
              <w:bottom w:w="80" w:type="dxa"/>
              <w:right w:w="90" w:type="dxa"/>
            </w:tcMar>
          </w:tcPr>
          <w:p w14:paraId="23329D09" w14:textId="77777777" w:rsidR="00E375BE" w:rsidRDefault="004313A7">
            <w:pPr>
              <w:spacing w:after="0" w:line="259" w:lineRule="auto"/>
              <w:jc w:val="right"/>
            </w:pPr>
            <w:r>
              <w:rPr>
                <w:rFonts w:ascii="Calibri" w:hAnsi="Calibri"/>
                <w:b/>
                <w:color w:val="1B365D"/>
                <w:sz w:val="18"/>
              </w:rPr>
              <w:t>₱</w:t>
            </w:r>
            <w:r>
              <w:rPr>
                <w:rFonts w:ascii="Calibri" w:hAnsi="Calibri"/>
                <w:b/>
                <w:color w:val="1B365D"/>
                <w:sz w:val="18"/>
              </w:rPr>
              <w:t>18,500.00</w:t>
            </w:r>
          </w:p>
        </w:tc>
      </w:tr>
    </w:tbl>
    <w:p w14:paraId="2C093B96" w14:textId="77777777" w:rsidR="00E375BE" w:rsidRDefault="004313A7">
      <w:r>
        <w:br w:type="page"/>
      </w:r>
    </w:p>
    <w:p w14:paraId="793FB145" w14:textId="77777777" w:rsidR="00E375BE" w:rsidRDefault="004313A7">
      <w:pPr>
        <w:keepNext/>
        <w:pBdr>
          <w:bottom w:val="single" w:sz="8" w:space="2" w:color="1B365D"/>
        </w:pBdr>
        <w:spacing w:before="180" w:after="80" w:line="269" w:lineRule="auto"/>
      </w:pPr>
      <w:r>
        <w:rPr>
          <w:rFonts w:ascii="Calibri" w:hAnsi="Calibri"/>
          <w:b/>
          <w:color w:val="1B365D"/>
          <w:sz w:val="24"/>
        </w:rPr>
        <w:t>6. Strategic Institutional Benefits &amp; Expected Impact</w:t>
      </w:r>
    </w:p>
    <w:p w14:paraId="1B80A4B9" w14:textId="77777777" w:rsidR="00E375BE" w:rsidRDefault="004313A7">
      <w:pPr>
        <w:spacing w:after="120" w:line="269" w:lineRule="auto"/>
      </w:pPr>
      <w:r>
        <w:rPr>
          <w:rFonts w:ascii="Calibri" w:hAnsi="Calibri"/>
          <w:color w:val="222222"/>
          <w:sz w:val="19"/>
        </w:rPr>
        <w:t>The adoption of the system provides measurable, high-impact improvements across administrative governance, financial accountability, and academic operations:</w:t>
      </w:r>
    </w:p>
    <w:p w14:paraId="313BFC0A" w14:textId="77777777" w:rsidR="00E375BE" w:rsidRDefault="004313A7">
      <w:pPr>
        <w:spacing w:after="80" w:line="264" w:lineRule="auto"/>
        <w:ind w:left="216"/>
      </w:pPr>
      <w:r>
        <w:rPr>
          <w:rFonts w:ascii="Calibri" w:hAnsi="Calibri"/>
          <w:b/>
          <w:color w:val="800000"/>
          <w:sz w:val="18"/>
        </w:rPr>
        <w:t xml:space="preserve">• Immediate Liquidation Readiness: </w:t>
      </w:r>
      <w:r>
        <w:rPr>
          <w:rFonts w:ascii="Calibri" w:hAnsi="Calibri"/>
          <w:color w:val="222222"/>
          <w:sz w:val="18"/>
        </w:rPr>
        <w:t>Generates official PDF and Excel liquidation reports directly from recorded transaction ledgers, reducing report assembly time by over 90% and eliminating missing receipt bottlenecks.</w:t>
      </w:r>
    </w:p>
    <w:p w14:paraId="6540D343" w14:textId="77777777" w:rsidR="00E375BE" w:rsidRDefault="004313A7">
      <w:pPr>
        <w:spacing w:after="80" w:line="264" w:lineRule="auto"/>
        <w:ind w:left="216"/>
      </w:pPr>
      <w:r>
        <w:rPr>
          <w:rFonts w:ascii="Calibri" w:hAnsi="Calibri"/>
          <w:b/>
          <w:color w:val="800000"/>
          <w:sz w:val="18"/>
        </w:rPr>
        <w:t xml:space="preserve">• Zero Manual Balance Discrepancies: </w:t>
      </w:r>
      <w:r>
        <w:rPr>
          <w:rFonts w:ascii="Calibri" w:hAnsi="Calibri"/>
          <w:color w:val="222222"/>
          <w:sz w:val="18"/>
        </w:rPr>
        <w:t>Real-time ledger balance validation prevents account overdrafts and maintains continuous transparency over organizational funds.</w:t>
      </w:r>
    </w:p>
    <w:p w14:paraId="02F5A40F" w14:textId="77777777" w:rsidR="00E375BE" w:rsidRDefault="004313A7">
      <w:pPr>
        <w:spacing w:after="80" w:line="264" w:lineRule="auto"/>
        <w:ind w:left="216"/>
      </w:pPr>
      <w:r>
        <w:rPr>
          <w:rFonts w:ascii="Calibri" w:hAnsi="Calibri"/>
          <w:b/>
          <w:color w:val="800000"/>
          <w:sz w:val="18"/>
        </w:rPr>
        <w:t xml:space="preserve">• Automated Load &amp; Prerequisite Evaluation: </w:t>
      </w:r>
      <w:r>
        <w:rPr>
          <w:rFonts w:ascii="Calibri" w:hAnsi="Calibri"/>
          <w:color w:val="222222"/>
          <w:sz w:val="18"/>
        </w:rPr>
        <w:t>Program Heads evaluate submitted loads against automated prerequisite rules, preventing invalid course sequence enrollments and manual transcript auditing.</w:t>
      </w:r>
    </w:p>
    <w:p w14:paraId="24A38A73" w14:textId="77777777" w:rsidR="00E375BE" w:rsidRDefault="004313A7">
      <w:pPr>
        <w:spacing w:after="80" w:line="264" w:lineRule="auto"/>
        <w:ind w:left="216"/>
      </w:pPr>
      <w:r>
        <w:rPr>
          <w:rFonts w:ascii="Calibri" w:hAnsi="Calibri"/>
          <w:b/>
          <w:color w:val="800000"/>
          <w:sz w:val="18"/>
        </w:rPr>
        <w:t xml:space="preserve">• Uncompromising Governance Audit Trail: </w:t>
      </w:r>
      <w:r>
        <w:rPr>
          <w:rFonts w:ascii="Calibri" w:hAnsi="Calibri"/>
          <w:color w:val="222222"/>
          <w:sz w:val="18"/>
        </w:rPr>
        <w:t>Append-only audit logs record every financial entry modification or administrative change, ensuring complete governance peace of mind and effortless internal audit preparation.</w:t>
      </w:r>
    </w:p>
    <w:p w14:paraId="31031DB2" w14:textId="77777777" w:rsidR="00E375BE" w:rsidRDefault="004313A7">
      <w:pPr>
        <w:spacing w:after="80" w:line="264" w:lineRule="auto"/>
        <w:ind w:left="216"/>
      </w:pPr>
      <w:r>
        <w:rPr>
          <w:rFonts w:ascii="Calibri" w:hAnsi="Calibri"/>
          <w:b/>
          <w:color w:val="800000"/>
          <w:sz w:val="18"/>
        </w:rPr>
        <w:t xml:space="preserve">• Omnichannel Student &amp; Officer Access: </w:t>
      </w:r>
      <w:r>
        <w:rPr>
          <w:rFonts w:ascii="Calibri" w:hAnsi="Calibri"/>
          <w:color w:val="222222"/>
          <w:sz w:val="18"/>
        </w:rPr>
        <w:t>Students and faculty access real-time financial ledgers and academic standing from web browsers, installed mobile PWA apps, or native desktop applications.</w:t>
      </w:r>
    </w:p>
    <w:p w14:paraId="5F96FDD2" w14:textId="77777777" w:rsidR="00E375BE" w:rsidRDefault="004313A7">
      <w:pPr>
        <w:keepNext/>
        <w:pBdr>
          <w:bottom w:val="single" w:sz="8" w:space="2" w:color="1B365D"/>
        </w:pBdr>
        <w:spacing w:before="180" w:after="80" w:line="269" w:lineRule="auto"/>
      </w:pPr>
      <w:r>
        <w:rPr>
          <w:rFonts w:ascii="Calibri" w:hAnsi="Calibri"/>
          <w:b/>
          <w:color w:val="1B365D"/>
          <w:sz w:val="24"/>
        </w:rPr>
        <w:t>7. Governance, Data Ownership &amp; Technical Support SLA</w:t>
      </w:r>
    </w:p>
    <w:p w14:paraId="3E94380E" w14:textId="77777777" w:rsidR="00E375BE" w:rsidRDefault="004313A7">
      <w:pPr>
        <w:spacing w:after="100" w:line="269" w:lineRule="auto"/>
      </w:pPr>
      <w:r>
        <w:rPr>
          <w:rFonts w:ascii="Calibri" w:hAnsi="Calibri"/>
          <w:color w:val="222222"/>
          <w:sz w:val="19"/>
        </w:rPr>
        <w:t>Upon successful deployment, the adopting institution assumes full, unencumbered ownership of all database records, user credentials, and financial documentation. System database backups are encrypted weekly and stored within institutional storage repositories. A formal Data Processing Agreement (DPA) will be executed alongside system handover to solidify data compliance.</w:t>
      </w:r>
    </w:p>
    <w:p w14:paraId="573757F6" w14:textId="77777777" w:rsidR="00E375BE" w:rsidRDefault="004313A7">
      <w:pPr>
        <w:spacing w:after="160" w:line="269" w:lineRule="auto"/>
      </w:pPr>
      <w:r>
        <w:rPr>
          <w:rFonts w:ascii="Calibri" w:hAnsi="Calibri"/>
          <w:color w:val="222222"/>
          <w:sz w:val="19"/>
        </w:rPr>
        <w:t>The turnkey package includes a 12-Month Maintenance &amp; Support SLA covering system updates, SSL maintenance, database optimizations, and priority technical assistance for System Administrators.</w:t>
      </w:r>
    </w:p>
    <w:p w14:paraId="01366145" w14:textId="77777777" w:rsidR="00E375BE" w:rsidRDefault="004313A7">
      <w:pPr>
        <w:keepNext/>
        <w:pBdr>
          <w:bottom w:val="single" w:sz="8" w:space="2" w:color="1B365D"/>
        </w:pBdr>
        <w:spacing w:before="180" w:after="80" w:line="269" w:lineRule="auto"/>
      </w:pPr>
      <w:r>
        <w:rPr>
          <w:rFonts w:ascii="Calibri" w:hAnsi="Calibri"/>
          <w:b/>
          <w:color w:val="1B365D"/>
          <w:sz w:val="24"/>
        </w:rPr>
        <w:t>8. Recommendation &amp; Authorization Sign-Off</w:t>
      </w:r>
    </w:p>
    <w:p w14:paraId="1E3E52EF" w14:textId="77777777" w:rsidR="00E375BE" w:rsidRDefault="004313A7">
      <w:pPr>
        <w:spacing w:after="360" w:line="269" w:lineRule="auto"/>
      </w:pPr>
      <w:r>
        <w:rPr>
          <w:rFonts w:ascii="Calibri" w:hAnsi="Calibri"/>
          <w:color w:val="222222"/>
          <w:sz w:val="19"/>
        </w:rPr>
        <w:t>We respectfully request formal authorization to proceed with Phase 1 (Discovery &amp; Institutional Configuration) under the proposed turnkey budget of ₱18,500.00 PHP.</w:t>
      </w:r>
    </w:p>
    <w:tbl>
      <w:tblPr>
        <w:tblW w:w="0" w:type="auto"/>
        <w:jc w:val="center"/>
        <w:tblBorders>
          <w:top w:val="single" w:sz="4" w:space="0" w:color="FFFFFF"/>
          <w:bottom w:val="single" w:sz="4" w:space="0" w:color="FFFFFF"/>
          <w:insideH w:val="single" w:sz="4" w:space="0" w:color="FFFFFF"/>
        </w:tblBorders>
        <w:tblLayout w:type="fixed"/>
        <w:tblLook w:val="04A0" w:firstRow="1" w:lastRow="0" w:firstColumn="1" w:lastColumn="0" w:noHBand="0" w:noVBand="1"/>
      </w:tblPr>
      <w:tblGrid>
        <w:gridCol w:w="3312"/>
        <w:gridCol w:w="3312"/>
        <w:gridCol w:w="3456"/>
      </w:tblGrid>
      <w:tr w:rsidR="00E375BE" w14:paraId="2D8F726B" w14:textId="77777777">
        <w:trPr>
          <w:jc w:val="center"/>
        </w:trPr>
        <w:tc>
          <w:tcPr>
            <w:tcW w:w="3312" w:type="dxa"/>
            <w:tcMar>
              <w:top w:w="40" w:type="dxa"/>
              <w:left w:w="40" w:type="dxa"/>
              <w:bottom w:w="40" w:type="dxa"/>
              <w:right w:w="40" w:type="dxa"/>
            </w:tcMar>
          </w:tcPr>
          <w:p w14:paraId="58005D83" w14:textId="77777777" w:rsidR="00E375BE" w:rsidRDefault="004313A7">
            <w:pPr>
              <w:spacing w:after="0" w:line="264" w:lineRule="auto"/>
            </w:pPr>
            <w:r>
              <w:rPr>
                <w:rFonts w:ascii="Calibri" w:hAnsi="Calibri"/>
                <w:b/>
                <w:color w:val="1B365D"/>
                <w:sz w:val="17"/>
              </w:rPr>
              <w:t>PREPARED BY:</w:t>
            </w:r>
            <w:r>
              <w:rPr>
                <w:rFonts w:ascii="Calibri" w:hAnsi="Calibri"/>
                <w:color w:val="222222"/>
                <w:sz w:val="17"/>
              </w:rPr>
              <w:br/>
            </w:r>
            <w:r>
              <w:rPr>
                <w:rFonts w:ascii="Calibri" w:hAnsi="Calibri"/>
                <w:color w:val="222222"/>
                <w:sz w:val="17"/>
              </w:rPr>
              <w:br/>
              <w:t>_______________________</w:t>
            </w:r>
            <w:r>
              <w:rPr>
                <w:rFonts w:ascii="Calibri" w:hAnsi="Calibri"/>
                <w:color w:val="222222"/>
                <w:sz w:val="17"/>
              </w:rPr>
              <w:br/>
              <w:t>Lead Systems Proponent</w:t>
            </w:r>
            <w:r>
              <w:rPr>
                <w:rFonts w:ascii="Calibri" w:hAnsi="Calibri"/>
                <w:color w:val="222222"/>
                <w:sz w:val="17"/>
              </w:rPr>
              <w:br/>
              <w:t>College of Engineering LGU</w:t>
            </w:r>
          </w:p>
        </w:tc>
        <w:tc>
          <w:tcPr>
            <w:tcW w:w="3312" w:type="dxa"/>
            <w:tcMar>
              <w:top w:w="40" w:type="dxa"/>
              <w:left w:w="40" w:type="dxa"/>
              <w:bottom w:w="40" w:type="dxa"/>
              <w:right w:w="40" w:type="dxa"/>
            </w:tcMar>
          </w:tcPr>
          <w:p w14:paraId="211042E5" w14:textId="77777777" w:rsidR="00E375BE" w:rsidRDefault="004313A7">
            <w:pPr>
              <w:spacing w:after="0" w:line="264" w:lineRule="auto"/>
            </w:pPr>
            <w:r>
              <w:rPr>
                <w:rFonts w:ascii="Calibri" w:hAnsi="Calibri"/>
                <w:b/>
                <w:color w:val="1B365D"/>
                <w:sz w:val="17"/>
              </w:rPr>
              <w:t>NOTED BY:</w:t>
            </w:r>
            <w:r>
              <w:rPr>
                <w:rFonts w:ascii="Calibri" w:hAnsi="Calibri"/>
                <w:color w:val="222222"/>
                <w:sz w:val="17"/>
              </w:rPr>
              <w:br/>
            </w:r>
            <w:r>
              <w:rPr>
                <w:rFonts w:ascii="Calibri" w:hAnsi="Calibri"/>
                <w:color w:val="222222"/>
                <w:sz w:val="17"/>
              </w:rPr>
              <w:br/>
            </w:r>
            <w:r>
              <w:rPr>
                <w:rFonts w:ascii="Calibri" w:hAnsi="Calibri"/>
                <w:color w:val="222222"/>
                <w:sz w:val="17"/>
              </w:rPr>
              <w:t>_______________________</w:t>
            </w:r>
            <w:r>
              <w:rPr>
                <w:rFonts w:ascii="Calibri" w:hAnsi="Calibri"/>
                <w:color w:val="222222"/>
                <w:sz w:val="17"/>
              </w:rPr>
              <w:br/>
              <w:t>Faculty Adviser / Dept. Head</w:t>
            </w:r>
            <w:r>
              <w:rPr>
                <w:rFonts w:ascii="Calibri" w:hAnsi="Calibri"/>
                <w:color w:val="222222"/>
                <w:sz w:val="17"/>
              </w:rPr>
              <w:br/>
              <w:t>College of Engineering</w:t>
            </w:r>
          </w:p>
        </w:tc>
        <w:tc>
          <w:tcPr>
            <w:tcW w:w="3456" w:type="dxa"/>
            <w:tcMar>
              <w:top w:w="40" w:type="dxa"/>
              <w:left w:w="40" w:type="dxa"/>
              <w:bottom w:w="40" w:type="dxa"/>
              <w:right w:w="40" w:type="dxa"/>
            </w:tcMar>
          </w:tcPr>
          <w:p w14:paraId="07E31453" w14:textId="77777777" w:rsidR="00E375BE" w:rsidRDefault="004313A7">
            <w:pPr>
              <w:spacing w:after="0" w:line="264" w:lineRule="auto"/>
            </w:pPr>
            <w:r>
              <w:rPr>
                <w:rFonts w:ascii="Calibri" w:hAnsi="Calibri"/>
                <w:b/>
                <w:color w:val="1B365D"/>
                <w:sz w:val="17"/>
              </w:rPr>
              <w:t>APPROVED BY:</w:t>
            </w:r>
            <w:r>
              <w:rPr>
                <w:rFonts w:ascii="Calibri" w:hAnsi="Calibri"/>
                <w:color w:val="222222"/>
                <w:sz w:val="17"/>
              </w:rPr>
              <w:br/>
            </w:r>
            <w:r>
              <w:rPr>
                <w:rFonts w:ascii="Calibri" w:hAnsi="Calibri"/>
                <w:color w:val="222222"/>
                <w:sz w:val="17"/>
              </w:rPr>
              <w:br/>
              <w:t>_______________________</w:t>
            </w:r>
            <w:r>
              <w:rPr>
                <w:rFonts w:ascii="Calibri" w:hAnsi="Calibri"/>
                <w:color w:val="222222"/>
                <w:sz w:val="17"/>
              </w:rPr>
              <w:br/>
              <w:t>School Head / President</w:t>
            </w:r>
            <w:r>
              <w:rPr>
                <w:rFonts w:ascii="Calibri" w:hAnsi="Calibri"/>
                <w:color w:val="222222"/>
                <w:sz w:val="17"/>
              </w:rPr>
              <w:br/>
              <w:t>Adopting Institution</w:t>
            </w:r>
          </w:p>
        </w:tc>
      </w:tr>
      <w:tr w:rsidR="00E375BE" w14:paraId="1C35B539" w14:textId="77777777">
        <w:trPr>
          <w:jc w:val="center"/>
        </w:trPr>
        <w:tc>
          <w:tcPr>
            <w:tcW w:w="3312" w:type="dxa"/>
            <w:tcMar>
              <w:top w:w="40" w:type="dxa"/>
              <w:left w:w="40" w:type="dxa"/>
              <w:bottom w:w="40" w:type="dxa"/>
              <w:right w:w="40" w:type="dxa"/>
            </w:tcMar>
          </w:tcPr>
          <w:p w14:paraId="73254A89" w14:textId="77777777" w:rsidR="00E375BE" w:rsidRDefault="004313A7">
            <w:pPr>
              <w:spacing w:after="0" w:line="264" w:lineRule="auto"/>
            </w:pPr>
            <w:r>
              <w:rPr>
                <w:rFonts w:ascii="Calibri" w:hAnsi="Calibri"/>
                <w:b/>
                <w:color w:val="1B365D"/>
                <w:sz w:val="17"/>
              </w:rPr>
              <w:t>Date: _______________</w:t>
            </w:r>
          </w:p>
        </w:tc>
        <w:tc>
          <w:tcPr>
            <w:tcW w:w="3312" w:type="dxa"/>
            <w:tcMar>
              <w:top w:w="40" w:type="dxa"/>
              <w:left w:w="40" w:type="dxa"/>
              <w:bottom w:w="40" w:type="dxa"/>
              <w:right w:w="40" w:type="dxa"/>
            </w:tcMar>
          </w:tcPr>
          <w:p w14:paraId="78A95789" w14:textId="77777777" w:rsidR="00E375BE" w:rsidRDefault="004313A7">
            <w:pPr>
              <w:spacing w:after="0" w:line="264" w:lineRule="auto"/>
            </w:pPr>
            <w:r>
              <w:rPr>
                <w:rFonts w:ascii="Calibri" w:hAnsi="Calibri"/>
                <w:b/>
                <w:color w:val="1B365D"/>
                <w:sz w:val="17"/>
              </w:rPr>
              <w:t>Date: _______________</w:t>
            </w:r>
          </w:p>
        </w:tc>
        <w:tc>
          <w:tcPr>
            <w:tcW w:w="3456" w:type="dxa"/>
            <w:tcMar>
              <w:top w:w="40" w:type="dxa"/>
              <w:left w:w="40" w:type="dxa"/>
              <w:bottom w:w="40" w:type="dxa"/>
              <w:right w:w="40" w:type="dxa"/>
            </w:tcMar>
          </w:tcPr>
          <w:p w14:paraId="13902705" w14:textId="77777777" w:rsidR="00E375BE" w:rsidRDefault="004313A7">
            <w:pPr>
              <w:spacing w:after="0" w:line="264" w:lineRule="auto"/>
            </w:pPr>
            <w:r>
              <w:rPr>
                <w:rFonts w:ascii="Calibri" w:hAnsi="Calibri"/>
                <w:b/>
                <w:color w:val="1B365D"/>
                <w:sz w:val="17"/>
              </w:rPr>
              <w:t>Date: _______________</w:t>
            </w:r>
          </w:p>
        </w:tc>
      </w:tr>
    </w:tbl>
    <w:p w14:paraId="53760D58" w14:textId="77777777" w:rsidR="004313A7" w:rsidRDefault="004313A7"/>
    <w:sectPr w:rsidR="004313A7" w:rsidSect="00034616">
      <w:footerReference w:type="default" r:id="rId9"/>
      <w:pgSz w:w="12240" w:h="15840"/>
      <w:pgMar w:top="792" w:right="1080" w:bottom="79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8CD63" w14:textId="77777777" w:rsidR="004313A7" w:rsidRDefault="004313A7">
      <w:pPr>
        <w:spacing w:after="0" w:line="240" w:lineRule="auto"/>
      </w:pPr>
      <w:r>
        <w:separator/>
      </w:r>
    </w:p>
  </w:endnote>
  <w:endnote w:type="continuationSeparator" w:id="0">
    <w:p w14:paraId="5818DC50" w14:textId="77777777" w:rsidR="004313A7" w:rsidRDefault="004313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B7A25" w14:textId="77777777" w:rsidR="00E375BE" w:rsidRDefault="004313A7">
    <w:pPr>
      <w:pStyle w:val="Footer"/>
      <w:jc w:val="right"/>
    </w:pPr>
    <w:r>
      <w:rPr>
        <w:rFonts w:ascii="Calibri" w:hAnsi="Calibri"/>
        <w:color w:val="5A646E"/>
        <w:sz w:val="17"/>
      </w:rPr>
      <w:t>Financial Transparency &amp; Student Academic Portal | 3-Page System 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6F12C" w14:textId="77777777" w:rsidR="004313A7" w:rsidRDefault="004313A7">
      <w:pPr>
        <w:spacing w:after="0" w:line="240" w:lineRule="auto"/>
      </w:pPr>
      <w:r>
        <w:separator/>
      </w:r>
    </w:p>
  </w:footnote>
  <w:footnote w:type="continuationSeparator" w:id="0">
    <w:p w14:paraId="4EB65F31" w14:textId="77777777" w:rsidR="004313A7" w:rsidRDefault="004313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7731594">
    <w:abstractNumId w:val="8"/>
  </w:num>
  <w:num w:numId="2" w16cid:durableId="88279040">
    <w:abstractNumId w:val="6"/>
  </w:num>
  <w:num w:numId="3" w16cid:durableId="1325476067">
    <w:abstractNumId w:val="5"/>
  </w:num>
  <w:num w:numId="4" w16cid:durableId="2009943006">
    <w:abstractNumId w:val="4"/>
  </w:num>
  <w:num w:numId="5" w16cid:durableId="1459450553">
    <w:abstractNumId w:val="7"/>
  </w:num>
  <w:num w:numId="6" w16cid:durableId="1891914996">
    <w:abstractNumId w:val="3"/>
  </w:num>
  <w:num w:numId="7" w16cid:durableId="987440543">
    <w:abstractNumId w:val="2"/>
  </w:num>
  <w:num w:numId="8" w16cid:durableId="1237323488">
    <w:abstractNumId w:val="1"/>
  </w:num>
  <w:num w:numId="9" w16cid:durableId="1476753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13A7"/>
    <w:rsid w:val="0078086C"/>
    <w:rsid w:val="00AA1D8D"/>
    <w:rsid w:val="00B47730"/>
    <w:rsid w:val="00CB0664"/>
    <w:rsid w:val="00D94F85"/>
    <w:rsid w:val="00E375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D87CAF2"/>
  <w14:defaultImageDpi w14:val="300"/>
  <w15:docId w15:val="{FC13AB7B-A9EA-4DBF-B54E-2816FECCD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1050</Words>
  <Characters>7398</Characters>
  <Application>Microsoft Office Word</Application>
  <DocSecurity>0</DocSecurity>
  <Lines>164</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Lex Matondo</cp:lastModifiedBy>
  <cp:revision>2</cp:revision>
  <cp:lastPrinted>2026-09-24T07:49:00Z</cp:lastPrinted>
  <dcterms:created xsi:type="dcterms:W3CDTF">2013-12-23T23:15:00Z</dcterms:created>
  <dcterms:modified xsi:type="dcterms:W3CDTF">2026-09-24T07:49:00Z</dcterms:modified>
  <cp:category/>
</cp:coreProperties>
</file>