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E35F0" w14:textId="77777777" w:rsidR="00E375BE" w:rsidRDefault="004313A7">
      <w:pPr>
        <w:spacing w:after="80" w:line="269" w:lineRule="auto"/>
        <w:jc w:val="center"/>
      </w:pPr>
      <w:r>
        <w:rPr>
          <w:noProof/>
        </w:rPr>
        <w:drawing>
          <wp:inline distT="0" distB="0" distL="0" distR="0" wp14:anchorId="72EAC74D" wp14:editId="33ECC91D">
            <wp:extent cx="6400800" cy="8407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tterhead-banner.jpg"/>
                    <pic:cNvPicPr/>
                  </pic:nvPicPr>
                  <pic:blipFill>
                    <a:blip r:embed="rId8"/>
                    <a:stretch>
                      <a:fillRect/>
                    </a:stretch>
                  </pic:blipFill>
                  <pic:spPr>
                    <a:xfrm>
                      <a:off x="0" y="0"/>
                      <a:ext cx="6400800" cy="840730"/>
                    </a:xfrm>
                    <a:prstGeom prst="rect">
                      <a:avLst/>
                    </a:prstGeom>
                  </pic:spPr>
                </pic:pic>
              </a:graphicData>
            </a:graphic>
          </wp:inline>
        </w:drawing>
      </w:r>
    </w:p>
    <w:p w14:paraId="71A82C06" w14:textId="77777777" w:rsidR="00E375BE" w:rsidRDefault="004313A7">
      <w:pPr>
        <w:spacing w:before="20" w:after="20" w:line="269" w:lineRule="auto"/>
        <w:jc w:val="center"/>
      </w:pPr>
      <w:r>
        <w:rPr>
          <w:rFonts w:ascii="Calibri" w:hAnsi="Calibri"/>
          <w:b/>
          <w:color w:val="1B365D"/>
          <w:sz w:val="33"/>
        </w:rPr>
        <w:t>SYSTEM PROPOSAL &amp; INSTITUTIONAL BUDGET</w:t>
      </w:r>
    </w:p>
    <w:p w14:paraId="5BADDB56" w14:textId="77777777" w:rsidR="00E375BE" w:rsidRDefault="004313A7">
      <w:pPr>
        <w:spacing w:after="120" w:line="269" w:lineRule="auto"/>
        <w:jc w:val="center"/>
      </w:pPr>
      <w:r>
        <w:rPr>
          <w:rFonts w:ascii="Calibri" w:hAnsi="Calibri"/>
          <w:b/>
          <w:color w:val="5A646E"/>
        </w:rPr>
        <w:t>Financial Transparency &amp; Student Academic Portal</w:t>
      </w:r>
    </w:p>
    <w:tbl>
      <w:tblPr>
        <w:tblW w:w="0" w:type="auto"/>
        <w:jc w:val="center"/>
        <w:tblBorders>
          <w:top w:val="single" w:sz="4" w:space="0" w:color="1B365D"/>
          <w:bottom w:val="single" w:sz="4" w:space="0" w:color="1B365D"/>
          <w:insideH w:val="single" w:sz="4" w:space="0" w:color="1B365D"/>
        </w:tblBorders>
        <w:tblLayout w:type="fixed"/>
        <w:tblLook w:val="04A0" w:firstRow="1" w:lastRow="0" w:firstColumn="1" w:lastColumn="0" w:noHBand="0" w:noVBand="1"/>
      </w:tblPr>
      <w:tblGrid>
        <w:gridCol w:w="5040"/>
        <w:gridCol w:w="5040"/>
      </w:tblGrid>
      <w:tr w:rsidR="00E375BE" w14:paraId="60762E58" w14:textId="77777777">
        <w:trPr>
          <w:jc w:val="center"/>
        </w:trPr>
        <w:tc>
          <w:tcPr>
            <w:tcW w:w="5040" w:type="dxa"/>
            <w:shd w:val="clear" w:color="auto" w:fill="F4F6F9"/>
            <w:tcMar>
              <w:top w:w="65" w:type="dxa"/>
              <w:left w:w="100" w:type="dxa"/>
              <w:bottom w:w="65" w:type="dxa"/>
              <w:right w:w="100" w:type="dxa"/>
            </w:tcMar>
          </w:tcPr>
          <w:p w14:paraId="37C46781" w14:textId="77777777" w:rsidR="00E375BE" w:rsidRDefault="004313A7">
            <w:pPr>
              <w:spacing w:after="0" w:line="252" w:lineRule="auto"/>
            </w:pPr>
            <w:r>
              <w:rPr>
                <w:rFonts w:ascii="Calibri" w:hAnsi="Calibri"/>
                <w:b/>
                <w:color w:val="1B365D"/>
                <w:sz w:val="17"/>
              </w:rPr>
              <w:t>PROJECT PROPONENT:</w:t>
            </w:r>
            <w:r>
              <w:rPr>
                <w:rFonts w:ascii="Calibri" w:hAnsi="Calibri"/>
                <w:color w:val="222222"/>
                <w:sz w:val="17"/>
              </w:rPr>
              <w:t xml:space="preserve"> College of Engineering LGU, Cor Jesu College</w:t>
            </w:r>
          </w:p>
        </w:tc>
        <w:tc>
          <w:tcPr>
            <w:tcW w:w="5040" w:type="dxa"/>
            <w:shd w:val="clear" w:color="auto" w:fill="F4F6F9"/>
            <w:tcMar>
              <w:top w:w="65" w:type="dxa"/>
              <w:left w:w="100" w:type="dxa"/>
              <w:bottom w:w="65" w:type="dxa"/>
              <w:right w:w="100" w:type="dxa"/>
            </w:tcMar>
          </w:tcPr>
          <w:p w14:paraId="04C3A3F9" w14:textId="77777777" w:rsidR="00E375BE" w:rsidRDefault="004313A7">
            <w:pPr>
              <w:spacing w:after="0" w:line="252" w:lineRule="auto"/>
            </w:pPr>
            <w:r>
              <w:rPr>
                <w:rFonts w:ascii="Calibri" w:hAnsi="Calibri"/>
                <w:b/>
                <w:color w:val="1B365D"/>
                <w:sz w:val="17"/>
              </w:rPr>
              <w:t>SUBMITTED TO:</w:t>
            </w:r>
            <w:r>
              <w:rPr>
                <w:rFonts w:ascii="Calibri" w:hAnsi="Calibri"/>
                <w:color w:val="222222"/>
                <w:sz w:val="17"/>
              </w:rPr>
              <w:t xml:space="preserve"> Office of the President / Academic Administration</w:t>
            </w:r>
          </w:p>
        </w:tc>
      </w:tr>
      <w:tr w:rsidR="00E375BE" w14:paraId="336F7834" w14:textId="77777777">
        <w:trPr>
          <w:jc w:val="center"/>
        </w:trPr>
        <w:tc>
          <w:tcPr>
            <w:tcW w:w="5040" w:type="dxa"/>
            <w:shd w:val="clear" w:color="auto" w:fill="F4F6F9"/>
            <w:tcMar>
              <w:top w:w="65" w:type="dxa"/>
              <w:left w:w="100" w:type="dxa"/>
              <w:bottom w:w="65" w:type="dxa"/>
              <w:right w:w="100" w:type="dxa"/>
            </w:tcMar>
          </w:tcPr>
          <w:p w14:paraId="30DCCA39" w14:textId="77777777" w:rsidR="00E375BE" w:rsidRDefault="004313A7">
            <w:pPr>
              <w:spacing w:after="0" w:line="252" w:lineRule="auto"/>
            </w:pPr>
            <w:r>
              <w:rPr>
                <w:rFonts w:ascii="Calibri" w:hAnsi="Calibri"/>
                <w:b/>
                <w:color w:val="1B365D"/>
                <w:sz w:val="17"/>
              </w:rPr>
              <w:t>DATE OF SUBMISSION:</w:t>
            </w:r>
            <w:r>
              <w:rPr>
                <w:rFonts w:ascii="Calibri" w:hAnsi="Calibri"/>
                <w:color w:val="222222"/>
                <w:sz w:val="17"/>
              </w:rPr>
              <w:t xml:space="preserve"> September 24, 2026 | Ref: SP-2026-COE-001</w:t>
            </w:r>
          </w:p>
        </w:tc>
        <w:tc>
          <w:tcPr>
            <w:tcW w:w="5040" w:type="dxa"/>
            <w:shd w:val="clear" w:color="auto" w:fill="F4F6F9"/>
            <w:tcMar>
              <w:top w:w="65" w:type="dxa"/>
              <w:left w:w="100" w:type="dxa"/>
              <w:bottom w:w="65" w:type="dxa"/>
              <w:right w:w="100" w:type="dxa"/>
            </w:tcMar>
          </w:tcPr>
          <w:p w14:paraId="2146C7E6" w14:textId="77777777" w:rsidR="00E375BE" w:rsidRDefault="004313A7">
            <w:pPr>
              <w:spacing w:after="0" w:line="252" w:lineRule="auto"/>
            </w:pPr>
            <w:r>
              <w:rPr>
                <w:rFonts w:ascii="Calibri" w:hAnsi="Calibri"/>
                <w:b/>
                <w:color w:val="1B365D"/>
                <w:sz w:val="17"/>
              </w:rPr>
              <w:t>PROPOSED BUDGET:</w:t>
            </w:r>
            <w:r>
              <w:rPr>
                <w:rFonts w:ascii="Calibri" w:hAnsi="Calibri"/>
                <w:color w:val="222222"/>
                <w:sz w:val="17"/>
              </w:rPr>
              <w:t xml:space="preserve"> ₱18,500.00 PHP (Turnkey Implementation)</w:t>
            </w:r>
          </w:p>
        </w:tc>
      </w:tr>
    </w:tbl>
    <w:p w14:paraId="56633ED4" w14:textId="77777777" w:rsidR="00E375BE" w:rsidRDefault="004313A7">
      <w:pPr>
        <w:keepNext/>
        <w:pBdr>
          <w:bottom w:val="single" w:sz="8" w:space="2" w:color="1B365D"/>
        </w:pBdr>
        <w:spacing w:before="180" w:after="80" w:line="269" w:lineRule="auto"/>
      </w:pPr>
      <w:r>
        <w:rPr>
          <w:rFonts w:ascii="Calibri" w:hAnsi="Calibri"/>
          <w:b/>
          <w:color w:val="1B365D"/>
          <w:sz w:val="24"/>
        </w:rPr>
        <w:t>1. Executive Summary &amp; Project Rationale</w:t>
      </w:r>
    </w:p>
    <w:p w14:paraId="386E1FFC" w14:textId="77777777" w:rsidR="00E375BE" w:rsidRDefault="004313A7">
      <w:pPr>
        <w:spacing w:after="80" w:line="269" w:lineRule="auto"/>
      </w:pPr>
      <w:r>
        <w:rPr>
          <w:rFonts w:ascii="Calibri" w:hAnsi="Calibri"/>
          <w:color w:val="222222"/>
          <w:sz w:val="19"/>
        </w:rPr>
        <w:t>This proposal presents a turnkey deployment plan for the institutional adoption of the Financial Transparency and Student Academic Portal. Developed and validated within the College of Engineering Local Government Unit (COE-LGU) of Cor Jesu College, the platform resolves two critical administrative friction points: manual financial record-keeping and fragmented student academic progress verification.</w:t>
      </w:r>
    </w:p>
    <w:p w14:paraId="73CDDFA2" w14:textId="77777777" w:rsidR="00E375BE" w:rsidRDefault="004313A7">
      <w:pPr>
        <w:spacing w:after="120" w:line="269" w:lineRule="auto"/>
      </w:pPr>
      <w:r>
        <w:rPr>
          <w:rFonts w:ascii="Calibri" w:hAnsi="Calibri"/>
          <w:color w:val="222222"/>
          <w:sz w:val="19"/>
        </w:rPr>
        <w:t>Financial tracking relying on disconnected spreadsheets and paper receipts suffers from delayed liquidation reporting, lack of real-time balance visibility, and high audit overhead. Concurrently, academic evaluation (such as load approval, prerequisite validation, and standing verification) requires manual cross-referencing across separate rosters and forms. The proposed web-based system unifies both financial ledger management and academic prospectus verification into a single, secure, role-restricted plat</w:t>
      </w:r>
      <w:r>
        <w:rPr>
          <w:rFonts w:ascii="Calibri" w:hAnsi="Calibri"/>
          <w:color w:val="222222"/>
          <w:sz w:val="19"/>
        </w:rPr>
        <w:t>form.</w:t>
      </w:r>
    </w:p>
    <w:p w14:paraId="3C0948EE" w14:textId="77777777" w:rsidR="00E375BE" w:rsidRDefault="004313A7">
      <w:pPr>
        <w:keepNext/>
        <w:pBdr>
          <w:bottom w:val="single" w:sz="8" w:space="2" w:color="1B365D"/>
        </w:pBdr>
        <w:spacing w:before="180" w:after="80" w:line="269" w:lineRule="auto"/>
      </w:pPr>
      <w:r>
        <w:rPr>
          <w:rFonts w:ascii="Calibri" w:hAnsi="Calibri"/>
          <w:b/>
          <w:color w:val="1B365D"/>
          <w:sz w:val="24"/>
        </w:rPr>
        <w:t>2. Core System Architecture &amp; Scope</w:t>
      </w:r>
    </w:p>
    <w:p w14:paraId="4B3FAEB3" w14:textId="77777777" w:rsidR="00E375BE" w:rsidRDefault="004313A7">
      <w:pPr>
        <w:spacing w:after="100" w:line="269" w:lineRule="auto"/>
      </w:pPr>
      <w:r>
        <w:rPr>
          <w:rFonts w:ascii="Calibri" w:hAnsi="Calibri"/>
          <w:color w:val="222222"/>
          <w:sz w:val="19"/>
        </w:rPr>
        <w:t>The application is built as a client-server web system leveraging Supabase (PostgreSQL with Row-Level Security) and standard web technologies. It requires zero client installation and functions seamlessly across desktop browsers, mobile devices (Progressive Web App), and optional native desktop clients.</w:t>
      </w:r>
    </w:p>
    <w:tbl>
      <w:tblPr>
        <w:tblW w:w="0" w:type="auto"/>
        <w:jc w:val="center"/>
        <w:tblBorders>
          <w:top w:val="single" w:sz="4" w:space="0" w:color="CCCCCC"/>
          <w:bottom w:val="single" w:sz="4" w:space="0" w:color="CCCCCC"/>
          <w:insideH w:val="single" w:sz="4" w:space="0" w:color="CCCCCC"/>
        </w:tblBorders>
        <w:tblLayout w:type="fixed"/>
        <w:tblLook w:val="04A0" w:firstRow="1" w:lastRow="0" w:firstColumn="1" w:lastColumn="0" w:noHBand="0" w:noVBand="1"/>
      </w:tblPr>
      <w:tblGrid>
        <w:gridCol w:w="2160"/>
        <w:gridCol w:w="6192"/>
        <w:gridCol w:w="1728"/>
      </w:tblGrid>
      <w:tr w:rsidR="00E375BE" w14:paraId="69DDE05E" w14:textId="77777777">
        <w:trPr>
          <w:jc w:val="center"/>
        </w:trPr>
        <w:tc>
          <w:tcPr>
            <w:tcW w:w="2160" w:type="dxa"/>
            <w:shd w:val="clear" w:color="auto" w:fill="1B365D"/>
            <w:tcMar>
              <w:top w:w="80" w:type="dxa"/>
              <w:left w:w="90" w:type="dxa"/>
              <w:bottom w:w="80" w:type="dxa"/>
              <w:right w:w="90" w:type="dxa"/>
            </w:tcMar>
          </w:tcPr>
          <w:p w14:paraId="651DD381" w14:textId="77777777" w:rsidR="00E375BE" w:rsidRDefault="004313A7">
            <w:pPr>
              <w:spacing w:after="0" w:line="269" w:lineRule="auto"/>
            </w:pPr>
            <w:r>
              <w:rPr>
                <w:rFonts w:ascii="Calibri" w:hAnsi="Calibri"/>
                <w:b/>
                <w:color w:val="FFFFFF"/>
                <w:sz w:val="17"/>
              </w:rPr>
              <w:t>Functional Domain</w:t>
            </w:r>
          </w:p>
        </w:tc>
        <w:tc>
          <w:tcPr>
            <w:tcW w:w="6192" w:type="dxa"/>
            <w:shd w:val="clear" w:color="auto" w:fill="1B365D"/>
            <w:tcMar>
              <w:top w:w="80" w:type="dxa"/>
              <w:left w:w="90" w:type="dxa"/>
              <w:bottom w:w="80" w:type="dxa"/>
              <w:right w:w="90" w:type="dxa"/>
            </w:tcMar>
          </w:tcPr>
          <w:p w14:paraId="4447EAD5" w14:textId="77777777" w:rsidR="00E375BE" w:rsidRDefault="004313A7">
            <w:pPr>
              <w:spacing w:after="0" w:line="269" w:lineRule="auto"/>
            </w:pPr>
            <w:r>
              <w:rPr>
                <w:rFonts w:ascii="Calibri" w:hAnsi="Calibri"/>
                <w:b/>
                <w:color w:val="FFFFFF"/>
                <w:sz w:val="17"/>
              </w:rPr>
              <w:t>Key Capabilities &amp; Features</w:t>
            </w:r>
          </w:p>
        </w:tc>
        <w:tc>
          <w:tcPr>
            <w:tcW w:w="1728" w:type="dxa"/>
            <w:shd w:val="clear" w:color="auto" w:fill="1B365D"/>
            <w:tcMar>
              <w:top w:w="80" w:type="dxa"/>
              <w:left w:w="90" w:type="dxa"/>
              <w:bottom w:w="80" w:type="dxa"/>
              <w:right w:w="90" w:type="dxa"/>
            </w:tcMar>
          </w:tcPr>
          <w:p w14:paraId="1608C798" w14:textId="77777777" w:rsidR="00E375BE" w:rsidRDefault="004313A7">
            <w:pPr>
              <w:spacing w:after="0" w:line="269" w:lineRule="auto"/>
            </w:pPr>
            <w:r>
              <w:rPr>
                <w:rFonts w:ascii="Calibri" w:hAnsi="Calibri"/>
                <w:b/>
                <w:color w:val="FFFFFF"/>
                <w:sz w:val="17"/>
              </w:rPr>
              <w:t>Target Users</w:t>
            </w:r>
          </w:p>
        </w:tc>
      </w:tr>
      <w:tr w:rsidR="00E375BE" w14:paraId="3FDBB240" w14:textId="77777777">
        <w:trPr>
          <w:jc w:val="center"/>
        </w:trPr>
        <w:tc>
          <w:tcPr>
            <w:tcW w:w="2160" w:type="dxa"/>
            <w:shd w:val="clear" w:color="auto" w:fill="F9FAFC"/>
            <w:tcMar>
              <w:top w:w="65" w:type="dxa"/>
              <w:left w:w="90" w:type="dxa"/>
              <w:bottom w:w="65" w:type="dxa"/>
              <w:right w:w="90" w:type="dxa"/>
            </w:tcMar>
          </w:tcPr>
          <w:p w14:paraId="7FF5614B" w14:textId="77777777" w:rsidR="00E375BE" w:rsidRDefault="004313A7">
            <w:pPr>
              <w:spacing w:after="0" w:line="259" w:lineRule="auto"/>
            </w:pPr>
            <w:r>
              <w:rPr>
                <w:rFonts w:ascii="Calibri" w:hAnsi="Calibri"/>
                <w:b/>
                <w:color w:val="1B365D"/>
                <w:sz w:val="17"/>
              </w:rPr>
              <w:t>1. Financial Ledger &amp; Transparency</w:t>
            </w:r>
          </w:p>
        </w:tc>
        <w:tc>
          <w:tcPr>
            <w:tcW w:w="6192" w:type="dxa"/>
            <w:shd w:val="clear" w:color="auto" w:fill="F9FAFC"/>
            <w:tcMar>
              <w:top w:w="65" w:type="dxa"/>
              <w:left w:w="90" w:type="dxa"/>
              <w:bottom w:w="65" w:type="dxa"/>
              <w:right w:w="90" w:type="dxa"/>
            </w:tcMar>
          </w:tcPr>
          <w:p w14:paraId="03A270B6" w14:textId="77777777" w:rsidR="00E375BE" w:rsidRDefault="004313A7">
            <w:pPr>
              <w:spacing w:after="0" w:line="259" w:lineRule="auto"/>
            </w:pPr>
            <w:r>
              <w:rPr>
                <w:rFonts w:ascii="Calibri" w:hAnsi="Calibri"/>
                <w:color w:val="222222"/>
                <w:sz w:val="17"/>
              </w:rPr>
              <w:t>Double-entry transaction ledger with compulsory receipt uploads, per-activity budget envelopes, real-time overdraft validation, automated PDF/Excel liquidation report generation, and public disclosure summary.</w:t>
            </w:r>
          </w:p>
        </w:tc>
        <w:tc>
          <w:tcPr>
            <w:tcW w:w="1728" w:type="dxa"/>
            <w:shd w:val="clear" w:color="auto" w:fill="F9FAFC"/>
            <w:tcMar>
              <w:top w:w="65" w:type="dxa"/>
              <w:left w:w="90" w:type="dxa"/>
              <w:bottom w:w="65" w:type="dxa"/>
              <w:right w:w="90" w:type="dxa"/>
            </w:tcMar>
          </w:tcPr>
          <w:p w14:paraId="09CAB057" w14:textId="77777777" w:rsidR="00E375BE" w:rsidRDefault="004313A7">
            <w:pPr>
              <w:spacing w:after="0" w:line="259" w:lineRule="auto"/>
            </w:pPr>
            <w:r>
              <w:rPr>
                <w:rFonts w:ascii="Calibri" w:hAnsi="Calibri"/>
                <w:color w:val="222222"/>
                <w:sz w:val="17"/>
              </w:rPr>
              <w:t>Officers, Cashiers, Governor, Admin</w:t>
            </w:r>
          </w:p>
        </w:tc>
      </w:tr>
      <w:tr w:rsidR="00E375BE" w14:paraId="13CA1C62" w14:textId="77777777">
        <w:trPr>
          <w:jc w:val="center"/>
        </w:trPr>
        <w:tc>
          <w:tcPr>
            <w:tcW w:w="2160" w:type="dxa"/>
            <w:shd w:val="clear" w:color="auto" w:fill="FFFFFF"/>
            <w:tcMar>
              <w:top w:w="65" w:type="dxa"/>
              <w:left w:w="90" w:type="dxa"/>
              <w:bottom w:w="65" w:type="dxa"/>
              <w:right w:w="90" w:type="dxa"/>
            </w:tcMar>
          </w:tcPr>
          <w:p w14:paraId="6A522760" w14:textId="77777777" w:rsidR="00E375BE" w:rsidRDefault="004313A7">
            <w:pPr>
              <w:spacing w:after="0" w:line="259" w:lineRule="auto"/>
            </w:pPr>
            <w:r>
              <w:rPr>
                <w:rFonts w:ascii="Calibri" w:hAnsi="Calibri"/>
                <w:b/>
                <w:color w:val="1B365D"/>
                <w:sz w:val="17"/>
              </w:rPr>
              <w:t>2. Academic Records &amp; Load Verification</w:t>
            </w:r>
          </w:p>
        </w:tc>
        <w:tc>
          <w:tcPr>
            <w:tcW w:w="6192" w:type="dxa"/>
            <w:shd w:val="clear" w:color="auto" w:fill="FFFFFF"/>
            <w:tcMar>
              <w:top w:w="65" w:type="dxa"/>
              <w:left w:w="90" w:type="dxa"/>
              <w:bottom w:w="65" w:type="dxa"/>
              <w:right w:w="90" w:type="dxa"/>
            </w:tcMar>
          </w:tcPr>
          <w:p w14:paraId="6CBD7DD1" w14:textId="77777777" w:rsidR="00E375BE" w:rsidRDefault="004313A7">
            <w:pPr>
              <w:spacing w:after="0" w:line="259" w:lineRule="auto"/>
            </w:pPr>
            <w:r>
              <w:rPr>
                <w:rFonts w:ascii="Calibri" w:hAnsi="Calibri"/>
                <w:color w:val="222222"/>
                <w:sz w:val="17"/>
              </w:rPr>
              <w:t>Program prospectus structure, prerequisite and co-requisite validation, student load submission &amp; Program Head approval workflow, credit-unit tracker, automated standing transcripts, and student roster integration.</w:t>
            </w:r>
          </w:p>
        </w:tc>
        <w:tc>
          <w:tcPr>
            <w:tcW w:w="1728" w:type="dxa"/>
            <w:shd w:val="clear" w:color="auto" w:fill="FFFFFF"/>
            <w:tcMar>
              <w:top w:w="65" w:type="dxa"/>
              <w:left w:w="90" w:type="dxa"/>
              <w:bottom w:w="65" w:type="dxa"/>
              <w:right w:w="90" w:type="dxa"/>
            </w:tcMar>
          </w:tcPr>
          <w:p w14:paraId="3C90A300" w14:textId="77777777" w:rsidR="00E375BE" w:rsidRDefault="004313A7">
            <w:pPr>
              <w:spacing w:after="0" w:line="259" w:lineRule="auto"/>
            </w:pPr>
            <w:r>
              <w:rPr>
                <w:rFonts w:ascii="Calibri" w:hAnsi="Calibri"/>
                <w:color w:val="222222"/>
                <w:sz w:val="17"/>
              </w:rPr>
              <w:t>Students, Program Heads, Dean</w:t>
            </w:r>
          </w:p>
        </w:tc>
      </w:tr>
      <w:tr w:rsidR="00E375BE" w14:paraId="40341E0D" w14:textId="77777777">
        <w:trPr>
          <w:jc w:val="center"/>
        </w:trPr>
        <w:tc>
          <w:tcPr>
            <w:tcW w:w="2160" w:type="dxa"/>
            <w:shd w:val="clear" w:color="auto" w:fill="F9FAFC"/>
            <w:tcMar>
              <w:top w:w="65" w:type="dxa"/>
              <w:left w:w="90" w:type="dxa"/>
              <w:bottom w:w="65" w:type="dxa"/>
              <w:right w:w="90" w:type="dxa"/>
            </w:tcMar>
          </w:tcPr>
          <w:p w14:paraId="4BAF85DC" w14:textId="77777777" w:rsidR="00E375BE" w:rsidRDefault="004313A7">
            <w:pPr>
              <w:spacing w:after="0" w:line="259" w:lineRule="auto"/>
            </w:pPr>
            <w:r>
              <w:rPr>
                <w:rFonts w:ascii="Calibri" w:hAnsi="Calibri"/>
                <w:b/>
                <w:color w:val="1B365D"/>
                <w:sz w:val="17"/>
              </w:rPr>
              <w:t>3. Student Services &amp; Public Verification</w:t>
            </w:r>
          </w:p>
        </w:tc>
        <w:tc>
          <w:tcPr>
            <w:tcW w:w="6192" w:type="dxa"/>
            <w:shd w:val="clear" w:color="auto" w:fill="F9FAFC"/>
            <w:tcMar>
              <w:top w:w="65" w:type="dxa"/>
              <w:left w:w="90" w:type="dxa"/>
              <w:bottom w:w="65" w:type="dxa"/>
              <w:right w:w="90" w:type="dxa"/>
            </w:tcMar>
          </w:tcPr>
          <w:p w14:paraId="27AF33D9" w14:textId="77777777" w:rsidR="00E375BE" w:rsidRDefault="004313A7">
            <w:pPr>
              <w:spacing w:after="0" w:line="259" w:lineRule="auto"/>
            </w:pPr>
            <w:r>
              <w:rPr>
                <w:rFonts w:ascii="Calibri" w:hAnsi="Calibri"/>
                <w:color w:val="222222"/>
                <w:sz w:val="17"/>
              </w:rPr>
              <w:t>Targeted in-app &amp; email notifications, structured student feedback facility, institutional announcements, and verifiable digital Curriculum Vitae (CV) builder with public token validation.</w:t>
            </w:r>
          </w:p>
        </w:tc>
        <w:tc>
          <w:tcPr>
            <w:tcW w:w="1728" w:type="dxa"/>
            <w:shd w:val="clear" w:color="auto" w:fill="F9FAFC"/>
            <w:tcMar>
              <w:top w:w="65" w:type="dxa"/>
              <w:left w:w="90" w:type="dxa"/>
              <w:bottom w:w="65" w:type="dxa"/>
              <w:right w:w="90" w:type="dxa"/>
            </w:tcMar>
          </w:tcPr>
          <w:p w14:paraId="0764C707" w14:textId="77777777" w:rsidR="00E375BE" w:rsidRDefault="004313A7">
            <w:pPr>
              <w:spacing w:after="0" w:line="259" w:lineRule="auto"/>
            </w:pPr>
            <w:r>
              <w:rPr>
                <w:rFonts w:ascii="Calibri" w:hAnsi="Calibri"/>
                <w:color w:val="222222"/>
                <w:sz w:val="17"/>
              </w:rPr>
              <w:t>Students, External Verifiers</w:t>
            </w:r>
          </w:p>
        </w:tc>
      </w:tr>
      <w:tr w:rsidR="00E375BE" w14:paraId="69F60081" w14:textId="77777777">
        <w:trPr>
          <w:jc w:val="center"/>
        </w:trPr>
        <w:tc>
          <w:tcPr>
            <w:tcW w:w="2160" w:type="dxa"/>
            <w:shd w:val="clear" w:color="auto" w:fill="FFFFFF"/>
            <w:tcMar>
              <w:top w:w="65" w:type="dxa"/>
              <w:left w:w="90" w:type="dxa"/>
              <w:bottom w:w="65" w:type="dxa"/>
              <w:right w:w="90" w:type="dxa"/>
            </w:tcMar>
          </w:tcPr>
          <w:p w14:paraId="2A71AFA4" w14:textId="77777777" w:rsidR="00E375BE" w:rsidRDefault="004313A7">
            <w:pPr>
              <w:spacing w:after="0" w:line="259" w:lineRule="auto"/>
            </w:pPr>
            <w:r>
              <w:rPr>
                <w:rFonts w:ascii="Calibri" w:hAnsi="Calibri"/>
                <w:b/>
                <w:color w:val="1B365D"/>
                <w:sz w:val="17"/>
              </w:rPr>
              <w:t>4. Executive Governance &amp; Security</w:t>
            </w:r>
          </w:p>
        </w:tc>
        <w:tc>
          <w:tcPr>
            <w:tcW w:w="6192" w:type="dxa"/>
            <w:shd w:val="clear" w:color="auto" w:fill="FFFFFF"/>
            <w:tcMar>
              <w:top w:w="65" w:type="dxa"/>
              <w:left w:w="90" w:type="dxa"/>
              <w:bottom w:w="65" w:type="dxa"/>
              <w:right w:w="90" w:type="dxa"/>
            </w:tcMar>
          </w:tcPr>
          <w:p w14:paraId="666BF507" w14:textId="77777777" w:rsidR="00E375BE" w:rsidRDefault="004313A7">
            <w:pPr>
              <w:spacing w:after="0" w:line="259" w:lineRule="auto"/>
            </w:pPr>
            <w:r>
              <w:rPr>
                <w:rFonts w:ascii="Calibri" w:hAnsi="Calibri"/>
                <w:color w:val="222222"/>
                <w:sz w:val="17"/>
              </w:rPr>
              <w:t>8-tier Role-Based Access Control (RBAC), append-only immutable audit logging, institutional email domain lock (@cjc.edu.ph), rate limiting, row-level security policies, and weekly automated backups.</w:t>
            </w:r>
          </w:p>
        </w:tc>
        <w:tc>
          <w:tcPr>
            <w:tcW w:w="1728" w:type="dxa"/>
            <w:shd w:val="clear" w:color="auto" w:fill="FFFFFF"/>
            <w:tcMar>
              <w:top w:w="65" w:type="dxa"/>
              <w:left w:w="90" w:type="dxa"/>
              <w:bottom w:w="65" w:type="dxa"/>
              <w:right w:w="90" w:type="dxa"/>
            </w:tcMar>
          </w:tcPr>
          <w:p w14:paraId="56A3EE33" w14:textId="77777777" w:rsidR="00E375BE" w:rsidRDefault="004313A7">
            <w:pPr>
              <w:spacing w:after="0" w:line="259" w:lineRule="auto"/>
            </w:pPr>
            <w:r>
              <w:rPr>
                <w:rFonts w:ascii="Calibri" w:hAnsi="Calibri"/>
                <w:color w:val="222222"/>
                <w:sz w:val="17"/>
              </w:rPr>
              <w:t>System Administrator, Audit Officers</w:t>
            </w:r>
          </w:p>
        </w:tc>
      </w:tr>
    </w:tbl>
    <w:p w14:paraId="1D7E36DF" w14:textId="77777777" w:rsidR="00E375BE" w:rsidRDefault="004313A7">
      <w:r>
        <w:br w:type="page"/>
      </w:r>
    </w:p>
    <w:p w14:paraId="0E0BD2F8" w14:textId="77777777" w:rsidR="00E375BE" w:rsidRDefault="004313A7">
      <w:pPr>
        <w:keepNext/>
        <w:pBdr>
          <w:bottom w:val="single" w:sz="8" w:space="2" w:color="1B365D"/>
        </w:pBdr>
        <w:spacing w:before="180" w:after="80" w:line="269" w:lineRule="auto"/>
      </w:pPr>
      <w:r>
        <w:rPr>
          <w:rFonts w:ascii="Calibri" w:hAnsi="Calibri"/>
          <w:b/>
          <w:color w:val="1B365D"/>
          <w:sz w:val="24"/>
        </w:rPr>
        <w:t>3. Security, Privacy &amp; Data Compliance</w:t>
      </w:r>
    </w:p>
    <w:p w14:paraId="76A93248" w14:textId="77777777" w:rsidR="00E375BE" w:rsidRDefault="004313A7">
      <w:pPr>
        <w:spacing w:after="80" w:line="269" w:lineRule="auto"/>
      </w:pPr>
      <w:r>
        <w:rPr>
          <w:rFonts w:ascii="Calibri" w:hAnsi="Calibri"/>
          <w:color w:val="222222"/>
          <w:sz w:val="19"/>
        </w:rPr>
        <w:t>Security and privacy controls are embedded directly into the database architecture, complying strictly with the Data Privacy Act of 2012 (RA 10173):</w:t>
      </w:r>
    </w:p>
    <w:p w14:paraId="53FAEB37" w14:textId="77777777" w:rsidR="00E375BE" w:rsidRDefault="004313A7">
      <w:pPr>
        <w:spacing w:after="60" w:line="259" w:lineRule="auto"/>
        <w:ind w:left="216"/>
      </w:pPr>
      <w:r>
        <w:rPr>
          <w:rFonts w:ascii="Calibri" w:hAnsi="Calibri"/>
          <w:b/>
          <w:color w:val="1B365D"/>
          <w:sz w:val="17"/>
        </w:rPr>
        <w:t xml:space="preserve">• Row-Level Security (RLS): </w:t>
      </w:r>
      <w:r>
        <w:rPr>
          <w:rFonts w:ascii="Calibri" w:hAnsi="Calibri"/>
          <w:color w:val="222222"/>
          <w:sz w:val="17"/>
        </w:rPr>
        <w:t>Database policies ensure students view only their own records, while officers access assigned organizational domains.</w:t>
      </w:r>
    </w:p>
    <w:p w14:paraId="5C1E8EF2" w14:textId="77777777" w:rsidR="00E375BE" w:rsidRDefault="004313A7">
      <w:pPr>
        <w:spacing w:after="60" w:line="259" w:lineRule="auto"/>
        <w:ind w:left="216"/>
      </w:pPr>
      <w:r>
        <w:rPr>
          <w:rFonts w:ascii="Calibri" w:hAnsi="Calibri"/>
          <w:b/>
          <w:color w:val="1B365D"/>
          <w:sz w:val="17"/>
        </w:rPr>
        <w:t xml:space="preserve">• Append-Only Audit Logging: </w:t>
      </w:r>
      <w:r>
        <w:rPr>
          <w:rFonts w:ascii="Calibri" w:hAnsi="Calibri"/>
          <w:color w:val="222222"/>
          <w:sz w:val="17"/>
        </w:rPr>
        <w:t>Financial corrections or role alterations log actor ID, timestamp, and mandatory justification.</w:t>
      </w:r>
    </w:p>
    <w:p w14:paraId="1B5EBE52" w14:textId="77777777" w:rsidR="00E375BE" w:rsidRDefault="004313A7">
      <w:pPr>
        <w:spacing w:after="60" w:line="259" w:lineRule="auto"/>
        <w:ind w:left="216"/>
      </w:pPr>
      <w:r>
        <w:rPr>
          <w:rFonts w:ascii="Calibri" w:hAnsi="Calibri"/>
          <w:b/>
          <w:color w:val="1B365D"/>
          <w:sz w:val="17"/>
        </w:rPr>
        <w:t xml:space="preserve">• Domain-Locked Registration: </w:t>
      </w:r>
      <w:r>
        <w:rPr>
          <w:rFonts w:ascii="Calibri" w:hAnsi="Calibri"/>
          <w:color w:val="222222"/>
          <w:sz w:val="17"/>
        </w:rPr>
        <w:t>Registration is restricted to valid institutional email addresses (@cjc.edu.ph) via database triggers.</w:t>
      </w:r>
    </w:p>
    <w:p w14:paraId="1CB8128D" w14:textId="77777777" w:rsidR="00E375BE" w:rsidRDefault="004313A7">
      <w:pPr>
        <w:spacing w:after="60" w:line="259" w:lineRule="auto"/>
        <w:ind w:left="216"/>
      </w:pPr>
      <w:r>
        <w:rPr>
          <w:rFonts w:ascii="Calibri" w:hAnsi="Calibri"/>
          <w:b/>
          <w:color w:val="1B365D"/>
          <w:sz w:val="17"/>
        </w:rPr>
        <w:t xml:space="preserve">• Encrypted Private Receipts: </w:t>
      </w:r>
      <w:r>
        <w:rPr>
          <w:rFonts w:ascii="Calibri" w:hAnsi="Calibri"/>
          <w:color w:val="222222"/>
          <w:sz w:val="17"/>
        </w:rPr>
        <w:t>Receipt images and document attachments are stored in private storage buckets served via authenticated tokens.</w:t>
      </w:r>
    </w:p>
    <w:p w14:paraId="5CAC7EFE" w14:textId="77777777" w:rsidR="00E375BE" w:rsidRDefault="004313A7">
      <w:pPr>
        <w:keepNext/>
        <w:pBdr>
          <w:bottom w:val="single" w:sz="8" w:space="2" w:color="1B365D"/>
        </w:pBdr>
        <w:spacing w:before="180" w:after="80" w:line="269" w:lineRule="auto"/>
      </w:pPr>
      <w:r>
        <w:rPr>
          <w:rFonts w:ascii="Calibri" w:hAnsi="Calibri"/>
          <w:b/>
          <w:color w:val="1B365D"/>
          <w:sz w:val="24"/>
        </w:rPr>
        <w:t>4. Phased Implementation Roadmap (4-Week Rollout)</w:t>
      </w:r>
    </w:p>
    <w:p w14:paraId="6090B2F5" w14:textId="77777777" w:rsidR="00E375BE" w:rsidRDefault="004313A7">
      <w:pPr>
        <w:spacing w:after="80" w:line="269" w:lineRule="auto"/>
      </w:pPr>
      <w:r>
        <w:rPr>
          <w:rFonts w:ascii="Calibri" w:hAnsi="Calibri"/>
          <w:color w:val="222222"/>
          <w:sz w:val="19"/>
        </w:rPr>
        <w:t>To guarantee an orderly rollout without disrupting routine academic operations, deployment is executed in four structured phases across four weeks:</w:t>
      </w:r>
    </w:p>
    <w:tbl>
      <w:tblPr>
        <w:tblW w:w="0" w:type="auto"/>
        <w:jc w:val="center"/>
        <w:tblBorders>
          <w:top w:val="single" w:sz="4" w:space="0" w:color="CCCCCC"/>
          <w:bottom w:val="single" w:sz="4" w:space="0" w:color="CCCCCC"/>
          <w:insideH w:val="single" w:sz="4" w:space="0" w:color="CCCCCC"/>
        </w:tblBorders>
        <w:tblLayout w:type="fixed"/>
        <w:tblLook w:val="04A0" w:firstRow="1" w:lastRow="0" w:firstColumn="1" w:lastColumn="0" w:noHBand="0" w:noVBand="1"/>
      </w:tblPr>
      <w:tblGrid>
        <w:gridCol w:w="1872"/>
        <w:gridCol w:w="6048"/>
        <w:gridCol w:w="2160"/>
      </w:tblGrid>
      <w:tr w:rsidR="00E375BE" w14:paraId="734FB965" w14:textId="77777777">
        <w:trPr>
          <w:jc w:val="center"/>
        </w:trPr>
        <w:tc>
          <w:tcPr>
            <w:tcW w:w="1872" w:type="dxa"/>
            <w:shd w:val="clear" w:color="auto" w:fill="1B365D"/>
            <w:tcMar>
              <w:top w:w="80" w:type="dxa"/>
              <w:left w:w="90" w:type="dxa"/>
              <w:bottom w:w="80" w:type="dxa"/>
              <w:right w:w="90" w:type="dxa"/>
            </w:tcMar>
          </w:tcPr>
          <w:p w14:paraId="2A2E554B" w14:textId="77777777" w:rsidR="00E375BE" w:rsidRDefault="004313A7">
            <w:pPr>
              <w:spacing w:after="0" w:line="269" w:lineRule="auto"/>
            </w:pPr>
            <w:r>
              <w:rPr>
                <w:rFonts w:ascii="Calibri" w:hAnsi="Calibri"/>
                <w:b/>
                <w:color w:val="FFFFFF"/>
                <w:sz w:val="17"/>
              </w:rPr>
              <w:t>Phase &amp; Timeline</w:t>
            </w:r>
          </w:p>
        </w:tc>
        <w:tc>
          <w:tcPr>
            <w:tcW w:w="6048" w:type="dxa"/>
            <w:shd w:val="clear" w:color="auto" w:fill="1B365D"/>
            <w:tcMar>
              <w:top w:w="80" w:type="dxa"/>
              <w:left w:w="90" w:type="dxa"/>
              <w:bottom w:w="80" w:type="dxa"/>
              <w:right w:w="90" w:type="dxa"/>
            </w:tcMar>
          </w:tcPr>
          <w:p w14:paraId="4E8AF47D" w14:textId="77777777" w:rsidR="00E375BE" w:rsidRDefault="004313A7">
            <w:pPr>
              <w:spacing w:after="0" w:line="269" w:lineRule="auto"/>
            </w:pPr>
            <w:r>
              <w:rPr>
                <w:rFonts w:ascii="Calibri" w:hAnsi="Calibri"/>
                <w:b/>
                <w:color w:val="FFFFFF"/>
                <w:sz w:val="17"/>
              </w:rPr>
              <w:t>Key Implementation Activities</w:t>
            </w:r>
          </w:p>
        </w:tc>
        <w:tc>
          <w:tcPr>
            <w:tcW w:w="2160" w:type="dxa"/>
            <w:shd w:val="clear" w:color="auto" w:fill="1B365D"/>
            <w:tcMar>
              <w:top w:w="80" w:type="dxa"/>
              <w:left w:w="90" w:type="dxa"/>
              <w:bottom w:w="80" w:type="dxa"/>
              <w:right w:w="90" w:type="dxa"/>
            </w:tcMar>
          </w:tcPr>
          <w:p w14:paraId="43D23BDF" w14:textId="77777777" w:rsidR="00E375BE" w:rsidRDefault="004313A7">
            <w:pPr>
              <w:spacing w:after="0" w:line="269" w:lineRule="auto"/>
            </w:pPr>
            <w:r>
              <w:rPr>
                <w:rFonts w:ascii="Calibri" w:hAnsi="Calibri"/>
                <w:b/>
                <w:color w:val="FFFFFF"/>
                <w:sz w:val="17"/>
              </w:rPr>
              <w:t>Primary Milestone</w:t>
            </w:r>
          </w:p>
        </w:tc>
      </w:tr>
      <w:tr w:rsidR="00E375BE" w14:paraId="18811AFC" w14:textId="77777777">
        <w:trPr>
          <w:jc w:val="center"/>
        </w:trPr>
        <w:tc>
          <w:tcPr>
            <w:tcW w:w="1872" w:type="dxa"/>
            <w:shd w:val="clear" w:color="auto" w:fill="F9FAFC"/>
            <w:tcMar>
              <w:top w:w="65" w:type="dxa"/>
              <w:left w:w="90" w:type="dxa"/>
              <w:bottom w:w="65" w:type="dxa"/>
              <w:right w:w="90" w:type="dxa"/>
            </w:tcMar>
          </w:tcPr>
          <w:p w14:paraId="54883A4C" w14:textId="77777777" w:rsidR="00E375BE" w:rsidRDefault="004313A7">
            <w:pPr>
              <w:spacing w:after="0" w:line="259" w:lineRule="auto"/>
            </w:pPr>
            <w:r>
              <w:rPr>
                <w:rFonts w:ascii="Calibri" w:hAnsi="Calibri"/>
                <w:b/>
                <w:color w:val="1B365D"/>
                <w:sz w:val="17"/>
              </w:rPr>
              <w:t>Phase 1: Week 1</w:t>
            </w:r>
            <w:r>
              <w:rPr>
                <w:rFonts w:ascii="Calibri" w:hAnsi="Calibri"/>
                <w:b/>
                <w:color w:val="1B365D"/>
                <w:sz w:val="17"/>
              </w:rPr>
              <w:br/>
              <w:t>Discovery &amp; Config</w:t>
            </w:r>
          </w:p>
        </w:tc>
        <w:tc>
          <w:tcPr>
            <w:tcW w:w="6048" w:type="dxa"/>
            <w:shd w:val="clear" w:color="auto" w:fill="F9FAFC"/>
            <w:tcMar>
              <w:top w:w="65" w:type="dxa"/>
              <w:left w:w="90" w:type="dxa"/>
              <w:bottom w:w="65" w:type="dxa"/>
              <w:right w:w="90" w:type="dxa"/>
            </w:tcMar>
          </w:tcPr>
          <w:p w14:paraId="093150F3" w14:textId="77777777" w:rsidR="00E375BE" w:rsidRDefault="004313A7">
            <w:pPr>
              <w:spacing w:after="0" w:line="259" w:lineRule="auto"/>
            </w:pPr>
            <w:r>
              <w:rPr>
                <w:rFonts w:ascii="Calibri" w:hAnsi="Calibri"/>
                <w:color w:val="222222"/>
                <w:sz w:val="17"/>
              </w:rPr>
              <w:t>Initial discovery, institution branding setup (logos, letterhead banners), database schema migration, email domain locking, and role permission mapping.</w:t>
            </w:r>
          </w:p>
        </w:tc>
        <w:tc>
          <w:tcPr>
            <w:tcW w:w="2160" w:type="dxa"/>
            <w:shd w:val="clear" w:color="auto" w:fill="F9FAFC"/>
            <w:tcMar>
              <w:top w:w="65" w:type="dxa"/>
              <w:left w:w="90" w:type="dxa"/>
              <w:bottom w:w="65" w:type="dxa"/>
              <w:right w:w="90" w:type="dxa"/>
            </w:tcMar>
          </w:tcPr>
          <w:p w14:paraId="43FB3DDD" w14:textId="77777777" w:rsidR="00E375BE" w:rsidRDefault="004313A7">
            <w:pPr>
              <w:spacing w:after="0" w:line="259" w:lineRule="auto"/>
            </w:pPr>
            <w:r>
              <w:rPr>
                <w:rFonts w:ascii="Calibri" w:hAnsi="Calibri"/>
                <w:b/>
                <w:color w:val="1B365D"/>
                <w:sz w:val="17"/>
              </w:rPr>
              <w:t>Configured Environment</w:t>
            </w:r>
          </w:p>
        </w:tc>
      </w:tr>
      <w:tr w:rsidR="00E375BE" w14:paraId="2A8F3DB7" w14:textId="77777777">
        <w:trPr>
          <w:jc w:val="center"/>
        </w:trPr>
        <w:tc>
          <w:tcPr>
            <w:tcW w:w="1872" w:type="dxa"/>
            <w:shd w:val="clear" w:color="auto" w:fill="FFFFFF"/>
            <w:tcMar>
              <w:top w:w="65" w:type="dxa"/>
              <w:left w:w="90" w:type="dxa"/>
              <w:bottom w:w="65" w:type="dxa"/>
              <w:right w:w="90" w:type="dxa"/>
            </w:tcMar>
          </w:tcPr>
          <w:p w14:paraId="2BF4E4E7" w14:textId="77777777" w:rsidR="00E375BE" w:rsidRDefault="004313A7">
            <w:pPr>
              <w:spacing w:after="0" w:line="259" w:lineRule="auto"/>
            </w:pPr>
            <w:r>
              <w:rPr>
                <w:rFonts w:ascii="Calibri" w:hAnsi="Calibri"/>
                <w:b/>
                <w:color w:val="1B365D"/>
                <w:sz w:val="17"/>
              </w:rPr>
              <w:t>Phase 2: Week 2</w:t>
            </w:r>
            <w:r>
              <w:rPr>
                <w:rFonts w:ascii="Calibri" w:hAnsi="Calibri"/>
                <w:b/>
                <w:color w:val="1B365D"/>
                <w:sz w:val="17"/>
              </w:rPr>
              <w:br/>
              <w:t>Data &amp; Prospectus</w:t>
            </w:r>
          </w:p>
        </w:tc>
        <w:tc>
          <w:tcPr>
            <w:tcW w:w="6048" w:type="dxa"/>
            <w:shd w:val="clear" w:color="auto" w:fill="FFFFFF"/>
            <w:tcMar>
              <w:top w:w="65" w:type="dxa"/>
              <w:left w:w="90" w:type="dxa"/>
              <w:bottom w:w="65" w:type="dxa"/>
              <w:right w:w="90" w:type="dxa"/>
            </w:tcMar>
          </w:tcPr>
          <w:p w14:paraId="6CFE43F6" w14:textId="77777777" w:rsidR="00E375BE" w:rsidRDefault="004313A7">
            <w:pPr>
              <w:spacing w:after="0" w:line="259" w:lineRule="auto"/>
            </w:pPr>
            <w:r>
              <w:rPr>
                <w:rFonts w:ascii="Calibri" w:hAnsi="Calibri"/>
                <w:color w:val="222222"/>
                <w:sz w:val="17"/>
              </w:rPr>
              <w:t>Encoding degree program prospectus structures, prerequisite rules, student roster CSV import, and initial general fund baseline setup.</w:t>
            </w:r>
          </w:p>
        </w:tc>
        <w:tc>
          <w:tcPr>
            <w:tcW w:w="2160" w:type="dxa"/>
            <w:shd w:val="clear" w:color="auto" w:fill="FFFFFF"/>
            <w:tcMar>
              <w:top w:w="65" w:type="dxa"/>
              <w:left w:w="90" w:type="dxa"/>
              <w:bottom w:w="65" w:type="dxa"/>
              <w:right w:w="90" w:type="dxa"/>
            </w:tcMar>
          </w:tcPr>
          <w:p w14:paraId="71823098" w14:textId="77777777" w:rsidR="00E375BE" w:rsidRDefault="004313A7">
            <w:pPr>
              <w:spacing w:after="0" w:line="259" w:lineRule="auto"/>
            </w:pPr>
            <w:r>
              <w:rPr>
                <w:rFonts w:ascii="Calibri" w:hAnsi="Calibri"/>
                <w:b/>
                <w:color w:val="1B365D"/>
                <w:sz w:val="17"/>
              </w:rPr>
              <w:t>Populated Core Database</w:t>
            </w:r>
          </w:p>
        </w:tc>
      </w:tr>
      <w:tr w:rsidR="00E375BE" w14:paraId="721FFD11" w14:textId="77777777">
        <w:trPr>
          <w:jc w:val="center"/>
        </w:trPr>
        <w:tc>
          <w:tcPr>
            <w:tcW w:w="1872" w:type="dxa"/>
            <w:shd w:val="clear" w:color="auto" w:fill="F9FAFC"/>
            <w:tcMar>
              <w:top w:w="65" w:type="dxa"/>
              <w:left w:w="90" w:type="dxa"/>
              <w:bottom w:w="65" w:type="dxa"/>
              <w:right w:w="90" w:type="dxa"/>
            </w:tcMar>
          </w:tcPr>
          <w:p w14:paraId="543F711E" w14:textId="77777777" w:rsidR="00E375BE" w:rsidRDefault="004313A7">
            <w:pPr>
              <w:spacing w:after="0" w:line="259" w:lineRule="auto"/>
            </w:pPr>
            <w:r>
              <w:rPr>
                <w:rFonts w:ascii="Calibri" w:hAnsi="Calibri"/>
                <w:b/>
                <w:color w:val="1B365D"/>
                <w:sz w:val="17"/>
              </w:rPr>
              <w:t>Phase 3: Week 3</w:t>
            </w:r>
            <w:r>
              <w:rPr>
                <w:rFonts w:ascii="Calibri" w:hAnsi="Calibri"/>
                <w:b/>
                <w:color w:val="1B365D"/>
                <w:sz w:val="17"/>
              </w:rPr>
              <w:br/>
              <w:t>Pilot &amp; Training</w:t>
            </w:r>
          </w:p>
        </w:tc>
        <w:tc>
          <w:tcPr>
            <w:tcW w:w="6048" w:type="dxa"/>
            <w:shd w:val="clear" w:color="auto" w:fill="F9FAFC"/>
            <w:tcMar>
              <w:top w:w="65" w:type="dxa"/>
              <w:left w:w="90" w:type="dxa"/>
              <w:bottom w:w="65" w:type="dxa"/>
              <w:right w:w="90" w:type="dxa"/>
            </w:tcMar>
          </w:tcPr>
          <w:p w14:paraId="20E36B5C" w14:textId="77777777" w:rsidR="00E375BE" w:rsidRDefault="004313A7">
            <w:pPr>
              <w:spacing w:after="0" w:line="259" w:lineRule="auto"/>
            </w:pPr>
            <w:r>
              <w:rPr>
                <w:rFonts w:ascii="Calibri" w:hAnsi="Calibri"/>
                <w:color w:val="222222"/>
                <w:sz w:val="17"/>
              </w:rPr>
              <w:t>Conducting pilot load evaluation with one department, user acceptance testing (UAT), training workshops for Program Heads, Cashiers, and Officers.</w:t>
            </w:r>
          </w:p>
        </w:tc>
        <w:tc>
          <w:tcPr>
            <w:tcW w:w="2160" w:type="dxa"/>
            <w:shd w:val="clear" w:color="auto" w:fill="F9FAFC"/>
            <w:tcMar>
              <w:top w:w="65" w:type="dxa"/>
              <w:left w:w="90" w:type="dxa"/>
              <w:bottom w:w="65" w:type="dxa"/>
              <w:right w:w="90" w:type="dxa"/>
            </w:tcMar>
          </w:tcPr>
          <w:p w14:paraId="4F9A6BA2" w14:textId="77777777" w:rsidR="00E375BE" w:rsidRDefault="004313A7">
            <w:pPr>
              <w:spacing w:after="0" w:line="259" w:lineRule="auto"/>
            </w:pPr>
            <w:r>
              <w:rPr>
                <w:rFonts w:ascii="Calibri" w:hAnsi="Calibri"/>
                <w:b/>
                <w:color w:val="1B365D"/>
                <w:sz w:val="17"/>
              </w:rPr>
              <w:t>Signed UAT &amp; Readiness</w:t>
            </w:r>
          </w:p>
        </w:tc>
      </w:tr>
      <w:tr w:rsidR="00E375BE" w14:paraId="193D3D2E" w14:textId="77777777">
        <w:trPr>
          <w:jc w:val="center"/>
        </w:trPr>
        <w:tc>
          <w:tcPr>
            <w:tcW w:w="1872" w:type="dxa"/>
            <w:shd w:val="clear" w:color="auto" w:fill="FFFFFF"/>
            <w:tcMar>
              <w:top w:w="65" w:type="dxa"/>
              <w:left w:w="90" w:type="dxa"/>
              <w:bottom w:w="65" w:type="dxa"/>
              <w:right w:w="90" w:type="dxa"/>
            </w:tcMar>
          </w:tcPr>
          <w:p w14:paraId="503C5F80" w14:textId="77777777" w:rsidR="00E375BE" w:rsidRDefault="004313A7">
            <w:pPr>
              <w:spacing w:after="0" w:line="259" w:lineRule="auto"/>
            </w:pPr>
            <w:r>
              <w:rPr>
                <w:rFonts w:ascii="Calibri" w:hAnsi="Calibri"/>
                <w:b/>
                <w:color w:val="1B365D"/>
                <w:sz w:val="17"/>
              </w:rPr>
              <w:t>Phase 4: Week 4</w:t>
            </w:r>
            <w:r>
              <w:rPr>
                <w:rFonts w:ascii="Calibri" w:hAnsi="Calibri"/>
                <w:b/>
                <w:color w:val="1B365D"/>
                <w:sz w:val="17"/>
              </w:rPr>
              <w:br/>
              <w:t>Go-Live &amp; Support</w:t>
            </w:r>
          </w:p>
        </w:tc>
        <w:tc>
          <w:tcPr>
            <w:tcW w:w="6048" w:type="dxa"/>
            <w:shd w:val="clear" w:color="auto" w:fill="FFFFFF"/>
            <w:tcMar>
              <w:top w:w="65" w:type="dxa"/>
              <w:left w:w="90" w:type="dxa"/>
              <w:bottom w:w="65" w:type="dxa"/>
              <w:right w:w="90" w:type="dxa"/>
            </w:tcMar>
          </w:tcPr>
          <w:p w14:paraId="372881C0" w14:textId="77777777" w:rsidR="00E375BE" w:rsidRDefault="004313A7">
            <w:pPr>
              <w:spacing w:after="0" w:line="259" w:lineRule="auto"/>
            </w:pPr>
            <w:r>
              <w:rPr>
                <w:rFonts w:ascii="Calibri" w:hAnsi="Calibri"/>
                <w:color w:val="222222"/>
                <w:sz w:val="17"/>
              </w:rPr>
              <w:t>Full institutional production deployment, administrator console handover, SSL verification, automated backup activation, and 1-year support launch.</w:t>
            </w:r>
          </w:p>
        </w:tc>
        <w:tc>
          <w:tcPr>
            <w:tcW w:w="2160" w:type="dxa"/>
            <w:shd w:val="clear" w:color="auto" w:fill="FFFFFF"/>
            <w:tcMar>
              <w:top w:w="65" w:type="dxa"/>
              <w:left w:w="90" w:type="dxa"/>
              <w:bottom w:w="65" w:type="dxa"/>
              <w:right w:w="90" w:type="dxa"/>
            </w:tcMar>
          </w:tcPr>
          <w:p w14:paraId="28066AD5" w14:textId="77777777" w:rsidR="00E375BE" w:rsidRDefault="004313A7">
            <w:pPr>
              <w:spacing w:after="0" w:line="259" w:lineRule="auto"/>
            </w:pPr>
            <w:r>
              <w:rPr>
                <w:rFonts w:ascii="Calibri" w:hAnsi="Calibri"/>
                <w:b/>
                <w:color w:val="1B365D"/>
                <w:sz w:val="17"/>
              </w:rPr>
              <w:t>Production Go-Live</w:t>
            </w:r>
          </w:p>
        </w:tc>
      </w:tr>
    </w:tbl>
    <w:p w14:paraId="5D60D258" w14:textId="77777777" w:rsidR="00E375BE" w:rsidRDefault="004313A7">
      <w:pPr>
        <w:keepNext/>
        <w:pBdr>
          <w:bottom w:val="single" w:sz="8" w:space="2" w:color="1B365D"/>
        </w:pBdr>
        <w:spacing w:before="180" w:after="80" w:line="269" w:lineRule="auto"/>
      </w:pPr>
      <w:r>
        <w:rPr>
          <w:rFonts w:ascii="Calibri" w:hAnsi="Calibri"/>
          <w:b/>
          <w:color w:val="1B365D"/>
          <w:sz w:val="24"/>
        </w:rPr>
        <w:t>5. Institutional Budget Proposal (₱18,500.00 Turnkey Package)</w:t>
      </w:r>
    </w:p>
    <w:p w14:paraId="6672627E" w14:textId="77777777" w:rsidR="00E375BE" w:rsidRDefault="004313A7">
      <w:pPr>
        <w:spacing w:after="80" w:line="269" w:lineRule="auto"/>
      </w:pPr>
      <w:r>
        <w:rPr>
          <w:rFonts w:ascii="Calibri" w:hAnsi="Calibri"/>
          <w:color w:val="222222"/>
          <w:sz w:val="19"/>
        </w:rPr>
        <w:t>Because the core system architecture is fully pre-built and operational, the adopting institution incurs ZERO software custom-development costs. The itemized budget below presents the turnkey deployment package in detail: each of the four cost components is broken down into its constituent deliverables, with the corresponding scope of work and amount, so that the institution can verify exactly what is included at every stage. The package spans institutional configuration, database provisioning and data migration, role-based training and documentation, and security hardening with post-deployment support.</w:t>
      </w:r>
    </w:p>
    <w:tbl>
      <w:tblPr>
        <w:tblW w:w="0" w:type="auto"/>
        <w:jc w:val="center"/>
        <w:tblBorders>
          <w:top w:val="single" w:sz="4" w:space="0" w:color="1B365D"/>
          <w:bottom w:val="single" w:sz="4" w:space="0" w:color="1B365D"/>
          <w:insideH w:val="single" w:sz="4" w:space="0" w:color="1B365D"/>
        </w:tblBorders>
        <w:tblLayout w:type="fixed"/>
        <w:tblLook w:val="04A0" w:firstRow="1" w:lastRow="0" w:firstColumn="1" w:lastColumn="0" w:noHBand="0" w:noVBand="1"/>
      </w:tblPr>
      <w:tblGrid>
        <w:gridCol w:w="2160"/>
        <w:gridCol w:w="6048"/>
        <w:gridCol w:w="1872"/>
      </w:tblGrid>
      <w:tr w:rsidR="00E375BE" w14:paraId="1FE7E805" w14:textId="77777777">
        <w:trPr>
          <w:jc w:val="center"/>
          <w:tblHeader w:val="true"/>
        </w:trPr>
        <w:tc>
          <w:tcPr>
            <w:tcW w:w="2160" w:type="dxa"/>
            <w:shd w:val="clear" w:color="auto" w:fill="1B365D"/>
            <w:tcMar>
              <w:top w:w="80" w:type="dxa"/>
              <w:left w:w="90" w:type="dxa"/>
              <w:bottom w:w="80" w:type="dxa"/>
              <w:right w:w="90" w:type="dxa"/>
            </w:tcMar>
          </w:tcPr>
          <w:p w14:paraId="4D396486" w14:textId="77777777" w:rsidR="00E375BE" w:rsidRDefault="004313A7">
            <w:pPr>
              <w:spacing w:after="0" w:line="269" w:lineRule="auto"/>
            </w:pPr>
            <w:r>
              <w:rPr>
                <w:rFonts w:ascii="Calibri" w:hAnsi="Calibri"/>
                <w:b/>
                <w:color w:val="FFFFFF"/>
                <w:sz w:val="17"/>
              </w:rPr>
              <w:t>Budget Component</w:t>
            </w:r>
          </w:p>
        </w:tc>
        <w:tc>
          <w:tcPr>
            <w:tcW w:w="6048" w:type="dxa"/>
            <w:shd w:val="clear" w:color="auto" w:fill="1B365D"/>
            <w:tcMar>
              <w:top w:w="80" w:type="dxa"/>
              <w:left w:w="90" w:type="dxa"/>
              <w:bottom w:w="80" w:type="dxa"/>
              <w:right w:w="90" w:type="dxa"/>
            </w:tcMar>
          </w:tcPr>
          <w:p w14:paraId="2DD23FF9" w14:textId="77777777" w:rsidR="00E375BE" w:rsidRDefault="004313A7">
            <w:pPr>
              <w:spacing w:after="0" w:line="269" w:lineRule="auto"/>
            </w:pPr>
            <w:r>
              <w:rPr>
                <w:rFonts w:ascii="Calibri" w:hAnsi="Calibri"/>
                <w:b/>
                <w:color w:val="FFFFFF"/>
                <w:sz w:val="17"/>
              </w:rPr>
              <w:t>Scope of Deliverables &amp; Services Included</w:t>
            </w:r>
          </w:p>
        </w:tc>
        <w:tc>
          <w:tcPr>
            <w:tcW w:w="1872" w:type="dxa"/>
            <w:shd w:val="clear" w:color="auto" w:fill="1B365D"/>
            <w:tcMar>
              <w:top w:w="80" w:type="dxa"/>
              <w:left w:w="90" w:type="dxa"/>
              <w:bottom w:w="80" w:type="dxa"/>
              <w:right w:w="90" w:type="dxa"/>
            </w:tcMar>
          </w:tcPr>
          <w:p w14:paraId="75ECFE62" w14:textId="77777777" w:rsidR="00E375BE" w:rsidRDefault="004313A7">
            <w:pPr>
              <w:spacing w:after="0" w:line="269" w:lineRule="auto"/>
              <w:jc w:val="right"/>
            </w:pPr>
            <w:r>
              <w:rPr>
                <w:rFonts w:ascii="Calibri" w:hAnsi="Calibri"/>
                <w:b/>
                <w:color w:val="FFFFFF"/>
                <w:sz w:val="17"/>
              </w:rPr>
              <w:t>Cost (PHP)</w:t>
            </w:r>
          </w:p>
        </w:tc>
      </w:tr>
      <w:tr w:rsidR="00E375BE" w14:paraId="310B6230" w14:textId="77777777">
        <w:trPr>
          <w:jc w:val="center"/>
        </w:trPr>
        <w:tc>
          <w:tcPr>
            <w:tcW w:w="2160" w:type="dxa"/>
            <w:shd w:val="clear" w:color="auto" w:fill="F9FAFC"/>
            <w:tcMar>
              <w:top w:w="65" w:type="dxa"/>
              <w:left w:w="90" w:type="dxa"/>
              <w:bottom w:w="65" w:type="dxa"/>
              <w:right w:w="90" w:type="dxa"/>
            </w:tcMar>
          </w:tcPr>
          <w:p w14:paraId="1EBCC962" w14:textId="77777777" w:rsidR="00E375BE" w:rsidRDefault="004313A7">
            <w:pPr>
              <w:spacing w:after="0" w:line="259" w:lineRule="auto"/>
            </w:pPr>
            <w:r>
              <w:rPr>
                <w:rFonts w:ascii="Calibri" w:hAnsi="Calibri" w:cs="Calibri"/>
                <w:b/>
                <w:color w:val="1B365D"/>
                <w:sz w:val="17"/>
              </w:rPr>
              <w:t>1. System Branding &amp; Institutional Configuration</w:t>
            </w:r>
          </w:p>
        </w:tc>
        <w:tc>
          <w:tcPr>
            <w:tcW w:w="6048" w:type="dxa"/>
            <w:shd w:val="clear" w:color="auto" w:fill="F9FAFC"/>
            <w:tcMar>
              <w:top w:w="65" w:type="dxa"/>
              <w:left w:w="90" w:type="dxa"/>
              <w:bottom w:w="65" w:type="dxa"/>
              <w:right w:w="90" w:type="dxa"/>
            </w:tcMar>
          </w:tcPr>
          <w:p w14:paraId="4B86659B" w14:textId="77777777" w:rsidR="00E375BE" w:rsidRDefault="004313A7">
            <w:pPr>
              <w:spacing w:after="0" w:line="259" w:lineRule="auto"/>
            </w:pPr>
            <w:r>
              <w:rPr>
                <w:rFonts w:ascii="Calibri" w:hAnsi="Calibri" w:cs="Calibri"/>
                <w:b w:val="0"/>
                <w:color w:val="222222"/>
                <w:sz w:val="17"/>
              </w:rPr>
              <w:t>Institutional identity, domain and mail configuration, and interface alignment.</w:t>
            </w:r>
          </w:p>
        </w:tc>
        <w:tc>
          <w:tcPr>
            <w:tcW w:w="1872" w:type="dxa"/>
            <w:shd w:val="clear" w:color="auto" w:fill="F9FAFC"/>
            <w:tcMar>
              <w:top w:w="65" w:type="dxa"/>
              <w:left w:w="90" w:type="dxa"/>
              <w:bottom w:w="65" w:type="dxa"/>
              <w:right w:w="90" w:type="dxa"/>
            </w:tcMar>
          </w:tcPr>
          <w:p w14:paraId="7DF4BD34" w14:textId="77777777" w:rsidR="00E375BE" w:rsidRDefault="004313A7">
            <w:pPr>
              <w:spacing w:after="0" w:line="259" w:lineRule="auto"/>
              <w:jc w:val="right"/>
            </w:pPr>
            <w:r>
              <w:rPr>
                <w:rFonts w:ascii="Calibri" w:hAnsi="Calibri" w:cs="Calibri"/>
                <w:b/>
                <w:color w:val="1B365D"/>
                <w:sz w:val="17"/>
              </w:rPr>
              <w:t>₱4,500.00</w:t>
            </w:r>
          </w:p>
        </w:tc>
      </w:tr>
      <w:tr w:rsidR="00E375BE" w14:paraId="653AAD2D" w14:textId="77777777">
        <w:trPr>
          <w:jc w:val="center"/>
        </w:trPr>
        <w:tc>
          <w:tcPr>
            <w:tcW w:w="2160" w:type="dxa"/>
            <w:shd w:val="clear" w:color="auto" w:fill="FFFFFF"/>
            <w:tcMar>
              <w:top w:w="65" w:type="dxa"/>
              <w:left w:w="90" w:type="dxa"/>
              <w:bottom w:w="65" w:type="dxa"/>
              <w:right w:w="90" w:type="dxa"/>
            </w:tcMar>
          </w:tcPr>
          <w:p w14:paraId="1CC28D4D" w14:textId="77777777" w:rsidR="00E375BE" w:rsidRDefault="004313A7">
            <w:pPr>
              <w:spacing w:after="0" w:line="259" w:lineRule="auto"/>
            </w:pPr>
            <w:r>
              <w:rPr>
                <w:rFonts w:ascii="Calibri" w:hAnsi="Calibri" w:cs="Calibri"/>
                <w:b w:val="0"/>
                <w:color w:val="1B365D"/>
                <w:sz w:val="17"/>
              </w:rPr>
              <w:t>1.1  Institutional branding pack</w:t>
            </w:r>
          </w:p>
        </w:tc>
        <w:tc>
          <w:tcPr>
            <w:tcW w:w="6048" w:type="dxa"/>
            <w:shd w:val="clear" w:color="auto" w:fill="FFFFFF"/>
            <w:tcMar>
              <w:top w:w="65" w:type="dxa"/>
              <w:left w:w="90" w:type="dxa"/>
              <w:bottom w:w="65" w:type="dxa"/>
              <w:right w:w="90" w:type="dxa"/>
            </w:tcMar>
          </w:tcPr>
          <w:p w14:paraId="6EB38FD9" w14:textId="77777777" w:rsidR="00E375BE" w:rsidRDefault="004313A7">
            <w:pPr>
              <w:spacing w:after="0" w:line="259" w:lineRule="auto"/>
            </w:pPr>
            <w:r>
              <w:rPr>
                <w:rFonts w:ascii="Calibri" w:hAnsi="Calibri" w:cs="Calibri"/>
                <w:b w:val="0"/>
                <w:color w:val="222222"/>
                <w:sz w:val="17"/>
              </w:rPr>
              <w:t>Processing of the institutional logo and seal, generation of favicon and mobile home-screen icons, and configuration of the application name and manifest.</w:t>
            </w:r>
          </w:p>
        </w:tc>
        <w:tc>
          <w:tcPr>
            <w:tcW w:w="1872" w:type="dxa"/>
            <w:shd w:val="clear" w:color="auto" w:fill="FFFFFF"/>
            <w:tcMar>
              <w:top w:w="65" w:type="dxa"/>
              <w:left w:w="90" w:type="dxa"/>
              <w:bottom w:w="65" w:type="dxa"/>
              <w:right w:w="90" w:type="dxa"/>
            </w:tcMar>
          </w:tcPr>
          <w:p w14:paraId="79A25F9B" w14:textId="77777777" w:rsidR="00E375BE" w:rsidRDefault="004313A7">
            <w:pPr>
              <w:spacing w:after="0" w:line="259" w:lineRule="auto"/>
              <w:jc w:val="right"/>
            </w:pPr>
            <w:r>
              <w:rPr>
                <w:rFonts w:ascii="Calibri" w:hAnsi="Calibri" w:cs="Calibri"/>
                <w:b w:val="0"/>
                <w:color w:val="222222"/>
                <w:sz w:val="17"/>
              </w:rPr>
              <w:t>₱1,000.00</w:t>
            </w:r>
          </w:p>
        </w:tc>
      </w:tr>
      <w:tr w:rsidR="00E375BE" w14:paraId="653AAD2D" w14:textId="77777777">
        <w:trPr>
          <w:jc w:val="center"/>
        </w:trPr>
        <w:tc>
          <w:tcPr>
            <w:tcW w:w="2160" w:type="dxa"/>
            <w:shd w:val="clear" w:color="auto" w:fill="FFFFFF"/>
            <w:tcMar>
              <w:top w:w="65" w:type="dxa"/>
              <w:left w:w="90" w:type="dxa"/>
              <w:bottom w:w="65" w:type="dxa"/>
              <w:right w:w="90" w:type="dxa"/>
            </w:tcMar>
          </w:tcPr>
          <w:p w14:paraId="1CC28D4D" w14:textId="77777777" w:rsidR="00E375BE" w:rsidRDefault="004313A7">
            <w:pPr>
              <w:spacing w:after="0" w:line="259" w:lineRule="auto"/>
            </w:pPr>
            <w:r>
              <w:rPr>
                <w:rFonts w:ascii="Calibri" w:hAnsi="Calibri" w:cs="Calibri"/>
                <w:b w:val="0"/>
                <w:color w:val="1B365D"/>
                <w:sz w:val="17"/>
              </w:rPr>
              <w:t>1.2  Document letterhead integration</w:t>
            </w:r>
          </w:p>
        </w:tc>
        <w:tc>
          <w:tcPr>
            <w:tcW w:w="6048" w:type="dxa"/>
            <w:shd w:val="clear" w:color="auto" w:fill="FFFFFF"/>
            <w:tcMar>
              <w:top w:w="65" w:type="dxa"/>
              <w:left w:w="90" w:type="dxa"/>
              <w:bottom w:w="65" w:type="dxa"/>
              <w:right w:w="90" w:type="dxa"/>
            </w:tcMar>
          </w:tcPr>
          <w:p w14:paraId="6EB38FD9" w14:textId="77777777" w:rsidR="00E375BE" w:rsidRDefault="004313A7">
            <w:pPr>
              <w:spacing w:after="0" w:line="259" w:lineRule="auto"/>
            </w:pPr>
            <w:r>
              <w:rPr>
                <w:rFonts w:ascii="Calibri" w:hAnsi="Calibri" w:cs="Calibri"/>
                <w:b w:val="0"/>
                <w:color w:val="222222"/>
                <w:sz w:val="17"/>
              </w:rPr>
              <w:t>Integration of the institutional letterhead banner, seal footer, and signature blocks into system-generated documents, including standing reports and transcripts.</w:t>
            </w:r>
          </w:p>
        </w:tc>
        <w:tc>
          <w:tcPr>
            <w:tcW w:w="1872" w:type="dxa"/>
            <w:shd w:val="clear" w:color="auto" w:fill="FFFFFF"/>
            <w:tcMar>
              <w:top w:w="65" w:type="dxa"/>
              <w:left w:w="90" w:type="dxa"/>
              <w:bottom w:w="65" w:type="dxa"/>
              <w:right w:w="90" w:type="dxa"/>
            </w:tcMar>
          </w:tcPr>
          <w:p w14:paraId="79A25F9B" w14:textId="77777777" w:rsidR="00E375BE" w:rsidRDefault="004313A7">
            <w:pPr>
              <w:spacing w:after="0" w:line="259" w:lineRule="auto"/>
              <w:jc w:val="right"/>
            </w:pPr>
            <w:r>
              <w:rPr>
                <w:rFonts w:ascii="Calibri" w:hAnsi="Calibri" w:cs="Calibri"/>
                <w:b w:val="0"/>
                <w:color w:val="222222"/>
                <w:sz w:val="17"/>
              </w:rPr>
              <w:t>₱1,000.00</w:t>
            </w:r>
          </w:p>
        </w:tc>
      </w:tr>
      <w:tr w:rsidR="00E375BE" w14:paraId="653AAD2D" w14:textId="77777777">
        <w:trPr>
          <w:jc w:val="center"/>
        </w:trPr>
        <w:tc>
          <w:tcPr>
            <w:tcW w:w="2160" w:type="dxa"/>
            <w:shd w:val="clear" w:color="auto" w:fill="FFFFFF"/>
            <w:tcMar>
              <w:top w:w="65" w:type="dxa"/>
              <w:left w:w="90" w:type="dxa"/>
              <w:bottom w:w="65" w:type="dxa"/>
              <w:right w:w="90" w:type="dxa"/>
            </w:tcMar>
          </w:tcPr>
          <w:p w14:paraId="1CC28D4D" w14:textId="77777777" w:rsidR="00E375BE" w:rsidRDefault="004313A7">
            <w:pPr>
              <w:spacing w:after="0" w:line="259" w:lineRule="auto"/>
            </w:pPr>
            <w:r>
              <w:rPr>
                <w:rFonts w:ascii="Calibri" w:hAnsi="Calibri" w:cs="Calibri"/>
                <w:b w:val="0"/>
                <w:color w:val="1B365D"/>
                <w:sz w:val="17"/>
              </w:rPr>
              <w:t>1.3  Student email domain lock</w:t>
            </w:r>
          </w:p>
        </w:tc>
        <w:tc>
          <w:tcPr>
            <w:tcW w:w="6048" w:type="dxa"/>
            <w:shd w:val="clear" w:color="auto" w:fill="FFFFFF"/>
            <w:tcMar>
              <w:top w:w="65" w:type="dxa"/>
              <w:left w:w="90" w:type="dxa"/>
              <w:bottom w:w="65" w:type="dxa"/>
              <w:right w:w="90" w:type="dxa"/>
            </w:tcMar>
          </w:tcPr>
          <w:p w14:paraId="6EB38FD9" w14:textId="77777777" w:rsidR="00E375BE" w:rsidRDefault="004313A7">
            <w:pPr>
              <w:spacing w:after="0" w:line="259" w:lineRule="auto"/>
            </w:pPr>
            <w:r>
              <w:rPr>
                <w:rFonts w:ascii="Calibri" w:hAnsi="Calibri" w:cs="Calibri"/>
                <w:b w:val="0"/>
                <w:color w:val="222222"/>
                <w:sz w:val="17"/>
              </w:rPr>
              <w:t>Configuration of registration restriction to the institutional email domain, enforced at both the authentication provider and the database level.</w:t>
            </w:r>
          </w:p>
        </w:tc>
        <w:tc>
          <w:tcPr>
            <w:tcW w:w="1872" w:type="dxa"/>
            <w:shd w:val="clear" w:color="auto" w:fill="FFFFFF"/>
            <w:tcMar>
              <w:top w:w="65" w:type="dxa"/>
              <w:left w:w="90" w:type="dxa"/>
              <w:bottom w:w="65" w:type="dxa"/>
              <w:right w:w="90" w:type="dxa"/>
            </w:tcMar>
          </w:tcPr>
          <w:p w14:paraId="79A25F9B" w14:textId="77777777" w:rsidR="00E375BE" w:rsidRDefault="004313A7">
            <w:pPr>
              <w:spacing w:after="0" w:line="259" w:lineRule="auto"/>
              <w:jc w:val="right"/>
            </w:pPr>
            <w:r>
              <w:rPr>
                <w:rFonts w:ascii="Calibri" w:hAnsi="Calibri" w:cs="Calibri"/>
                <w:b w:val="0"/>
                <w:color w:val="222222"/>
                <w:sz w:val="17"/>
              </w:rPr>
              <w:t>₱750.00</w:t>
            </w:r>
          </w:p>
        </w:tc>
      </w:tr>
      <w:tr w:rsidR="00E375BE" w14:paraId="653AAD2D" w14:textId="77777777">
        <w:trPr>
          <w:jc w:val="center"/>
        </w:trPr>
        <w:tc>
          <w:tcPr>
            <w:tcW w:w="2160" w:type="dxa"/>
            <w:shd w:val="clear" w:color="auto" w:fill="FFFFFF"/>
            <w:tcMar>
              <w:top w:w="65" w:type="dxa"/>
              <w:left w:w="90" w:type="dxa"/>
              <w:bottom w:w="65" w:type="dxa"/>
              <w:right w:w="90" w:type="dxa"/>
            </w:tcMar>
          </w:tcPr>
          <w:p w14:paraId="1CC28D4D" w14:textId="77777777" w:rsidR="00E375BE" w:rsidRDefault="004313A7">
            <w:pPr>
              <w:spacing w:after="0" w:line="259" w:lineRule="auto"/>
            </w:pPr>
            <w:r>
              <w:rPr>
                <w:rFonts w:ascii="Calibri" w:hAnsi="Calibri" w:cs="Calibri"/>
                <w:b w:val="0"/>
                <w:color w:val="1B365D"/>
                <w:sz w:val="17"/>
              </w:rPr>
              <w:t>1.4  Transactional email setup</w:t>
            </w:r>
          </w:p>
        </w:tc>
        <w:tc>
          <w:tcPr>
            <w:tcW w:w="6048" w:type="dxa"/>
            <w:shd w:val="clear" w:color="auto" w:fill="FFFFFF"/>
            <w:tcMar>
              <w:top w:w="65" w:type="dxa"/>
              <w:left w:w="90" w:type="dxa"/>
              <w:bottom w:w="65" w:type="dxa"/>
              <w:right w:w="90" w:type="dxa"/>
            </w:tcMar>
          </w:tcPr>
          <w:p w14:paraId="6EB38FD9" w14:textId="77777777" w:rsidR="00E375BE" w:rsidRDefault="004313A7">
            <w:pPr>
              <w:spacing w:after="0" w:line="259" w:lineRule="auto"/>
            </w:pPr>
            <w:r>
              <w:rPr>
                <w:rFonts w:ascii="Calibri" w:hAnsi="Calibri" w:cs="Calibri"/>
                <w:b w:val="0"/>
                <w:color w:val="222222"/>
                <w:sz w:val="17"/>
              </w:rPr>
              <w:t>Verification of the institutional sending domain (SPF and DKIM records) and configuration of branded notification templates for account approval, load status, and activity notices.</w:t>
            </w:r>
          </w:p>
        </w:tc>
        <w:tc>
          <w:tcPr>
            <w:tcW w:w="1872" w:type="dxa"/>
            <w:shd w:val="clear" w:color="auto" w:fill="FFFFFF"/>
            <w:tcMar>
              <w:top w:w="65" w:type="dxa"/>
              <w:left w:w="90" w:type="dxa"/>
              <w:bottom w:w="65" w:type="dxa"/>
              <w:right w:w="90" w:type="dxa"/>
            </w:tcMar>
          </w:tcPr>
          <w:p w14:paraId="79A25F9B" w14:textId="77777777" w:rsidR="00E375BE" w:rsidRDefault="004313A7">
            <w:pPr>
              <w:spacing w:after="0" w:line="259" w:lineRule="auto"/>
              <w:jc w:val="right"/>
            </w:pPr>
            <w:r>
              <w:rPr>
                <w:rFonts w:ascii="Calibri" w:hAnsi="Calibri" w:cs="Calibri"/>
                <w:b w:val="0"/>
                <w:color w:val="222222"/>
                <w:sz w:val="17"/>
              </w:rPr>
              <w:t>₱750.00</w:t>
            </w:r>
          </w:p>
        </w:tc>
      </w:tr>
      <w:tr w:rsidR="00E375BE" w14:paraId="653AAD2D" w14:textId="77777777">
        <w:trPr>
          <w:jc w:val="center"/>
        </w:trPr>
        <w:tc>
          <w:tcPr>
            <w:tcW w:w="2160" w:type="dxa"/>
            <w:shd w:val="clear" w:color="auto" w:fill="FFFFFF"/>
            <w:tcMar>
              <w:top w:w="65" w:type="dxa"/>
              <w:left w:w="90" w:type="dxa"/>
              <w:bottom w:w="65" w:type="dxa"/>
              <w:right w:w="90" w:type="dxa"/>
            </w:tcMar>
          </w:tcPr>
          <w:p w14:paraId="1CC28D4D" w14:textId="77777777" w:rsidR="00E375BE" w:rsidRDefault="004313A7">
            <w:pPr>
              <w:spacing w:after="0" w:line="259" w:lineRule="auto"/>
            </w:pPr>
            <w:r>
              <w:rPr>
                <w:rFonts w:ascii="Calibri" w:hAnsi="Calibri" w:cs="Calibri"/>
                <w:b w:val="0"/>
                <w:color w:val="1B365D"/>
                <w:sz w:val="17"/>
              </w:rPr>
              <w:t>1.5  Interface theme and copy review</w:t>
            </w:r>
          </w:p>
        </w:tc>
        <w:tc>
          <w:tcPr>
            <w:tcW w:w="6048" w:type="dxa"/>
            <w:shd w:val="clear" w:color="auto" w:fill="FFFFFF"/>
            <w:tcMar>
              <w:top w:w="65" w:type="dxa"/>
              <w:left w:w="90" w:type="dxa"/>
              <w:bottom w:w="65" w:type="dxa"/>
              <w:right w:w="90" w:type="dxa"/>
            </w:tcMar>
          </w:tcPr>
          <w:p w14:paraId="6EB38FD9" w14:textId="77777777" w:rsidR="00E375BE" w:rsidRDefault="004313A7">
            <w:pPr>
              <w:spacing w:after="0" w:line="259" w:lineRule="auto"/>
            </w:pPr>
            <w:r>
              <w:rPr>
                <w:rFonts w:ascii="Calibri" w:hAnsi="Calibri" w:cs="Calibri"/>
                <w:b w:val="0"/>
                <w:color w:val="222222"/>
                <w:sz w:val="17"/>
              </w:rPr>
              <w:t>Alignment of interface colours, typography, and control styling to institutional identity, and review of institutional wording throughout the interface.</w:t>
            </w:r>
          </w:p>
        </w:tc>
        <w:tc>
          <w:tcPr>
            <w:tcW w:w="1872" w:type="dxa"/>
            <w:shd w:val="clear" w:color="auto" w:fill="FFFFFF"/>
            <w:tcMar>
              <w:top w:w="65" w:type="dxa"/>
              <w:left w:w="90" w:type="dxa"/>
              <w:bottom w:w="65" w:type="dxa"/>
              <w:right w:w="90" w:type="dxa"/>
            </w:tcMar>
          </w:tcPr>
          <w:p w14:paraId="79A25F9B" w14:textId="77777777" w:rsidR="00E375BE" w:rsidRDefault="004313A7">
            <w:pPr>
              <w:spacing w:after="0" w:line="259" w:lineRule="auto"/>
              <w:jc w:val="right"/>
            </w:pPr>
            <w:r>
              <w:rPr>
                <w:rFonts w:ascii="Calibri" w:hAnsi="Calibri" w:cs="Calibri"/>
                <w:b w:val="0"/>
                <w:color w:val="222222"/>
                <w:sz w:val="17"/>
              </w:rPr>
              <w:t>₱1,000.00</w:t>
            </w:r>
          </w:p>
        </w:tc>
      </w:tr>
      <w:tr w:rsidR="00E375BE" w14:paraId="310B6230" w14:textId="77777777">
        <w:trPr>
          <w:jc w:val="center"/>
        </w:trPr>
        <w:tc>
          <w:tcPr>
            <w:tcW w:w="2160" w:type="dxa"/>
            <w:shd w:val="clear" w:color="auto" w:fill="F9FAFC"/>
            <w:tcMar>
              <w:top w:w="65" w:type="dxa"/>
              <w:left w:w="90" w:type="dxa"/>
              <w:bottom w:w="65" w:type="dxa"/>
              <w:right w:w="90" w:type="dxa"/>
            </w:tcMar>
          </w:tcPr>
          <w:p w14:paraId="1EBCC962" w14:textId="77777777" w:rsidR="00E375BE" w:rsidRDefault="004313A7">
            <w:pPr>
              <w:spacing w:after="0" w:line="259" w:lineRule="auto"/>
            </w:pPr>
            <w:r>
              <w:rPr>
                <w:rFonts w:ascii="Calibri" w:hAnsi="Calibri" w:cs="Calibri"/>
                <w:b/>
                <w:color w:val="1B365D"/>
                <w:sz w:val="17"/>
              </w:rPr>
              <w:t>2. Database Provisioning &amp; Data Migration</w:t>
            </w:r>
          </w:p>
        </w:tc>
        <w:tc>
          <w:tcPr>
            <w:tcW w:w="6048" w:type="dxa"/>
            <w:shd w:val="clear" w:color="auto" w:fill="F9FAFC"/>
            <w:tcMar>
              <w:top w:w="65" w:type="dxa"/>
              <w:left w:w="90" w:type="dxa"/>
              <w:bottom w:w="65" w:type="dxa"/>
              <w:right w:w="90" w:type="dxa"/>
            </w:tcMar>
          </w:tcPr>
          <w:p w14:paraId="4B86659B" w14:textId="77777777" w:rsidR="00E375BE" w:rsidRDefault="004313A7">
            <w:pPr>
              <w:spacing w:after="0" w:line="259" w:lineRule="auto"/>
            </w:pPr>
            <w:r>
              <w:rPr>
                <w:rFonts w:ascii="Calibri" w:hAnsi="Calibri" w:cs="Calibri"/>
                <w:b w:val="0"/>
                <w:color w:val="222222"/>
                <w:sz w:val="17"/>
              </w:rPr>
              <w:t>Cloud database setup, schema deployment, and migration of institutional academic and financial data.</w:t>
            </w:r>
          </w:p>
        </w:tc>
        <w:tc>
          <w:tcPr>
            <w:tcW w:w="1872" w:type="dxa"/>
            <w:shd w:val="clear" w:color="auto" w:fill="F9FAFC"/>
            <w:tcMar>
              <w:top w:w="65" w:type="dxa"/>
              <w:left w:w="90" w:type="dxa"/>
              <w:bottom w:w="65" w:type="dxa"/>
              <w:right w:w="90" w:type="dxa"/>
            </w:tcMar>
          </w:tcPr>
          <w:p w14:paraId="7DF4BD34" w14:textId="77777777" w:rsidR="00E375BE" w:rsidRDefault="004313A7">
            <w:pPr>
              <w:spacing w:after="0" w:line="259" w:lineRule="auto"/>
              <w:jc w:val="right"/>
            </w:pPr>
            <w:r>
              <w:rPr>
                <w:rFonts w:ascii="Calibri" w:hAnsi="Calibri" w:cs="Calibri"/>
                <w:b/>
                <w:color w:val="1B365D"/>
                <w:sz w:val="17"/>
              </w:rPr>
              <w:t>₱5,000.00</w:t>
            </w:r>
          </w:p>
        </w:tc>
      </w:tr>
      <w:tr w:rsidR="00E375BE" w14:paraId="653AAD2D" w14:textId="77777777">
        <w:trPr>
          <w:jc w:val="center"/>
        </w:trPr>
        <w:tc>
          <w:tcPr>
            <w:tcW w:w="2160" w:type="dxa"/>
            <w:shd w:val="clear" w:color="auto" w:fill="FFFFFF"/>
            <w:tcMar>
              <w:top w:w="65" w:type="dxa"/>
              <w:left w:w="90" w:type="dxa"/>
              <w:bottom w:w="65" w:type="dxa"/>
              <w:right w:w="90" w:type="dxa"/>
            </w:tcMar>
          </w:tcPr>
          <w:p w14:paraId="1CC28D4D" w14:textId="77777777" w:rsidR="00E375BE" w:rsidRDefault="004313A7">
            <w:pPr>
              <w:spacing w:after="0" w:line="259" w:lineRule="auto"/>
            </w:pPr>
            <w:r>
              <w:rPr>
                <w:rFonts w:ascii="Calibri" w:hAnsi="Calibri" w:cs="Calibri"/>
                <w:b w:val="0"/>
                <w:color w:val="1B365D"/>
                <w:sz w:val="17"/>
              </w:rPr>
              <w:t>2.1  Cloud database provisioning</w:t>
            </w:r>
          </w:p>
        </w:tc>
        <w:tc>
          <w:tcPr>
            <w:tcW w:w="6048" w:type="dxa"/>
            <w:shd w:val="clear" w:color="auto" w:fill="FFFFFF"/>
            <w:tcMar>
              <w:top w:w="65" w:type="dxa"/>
              <w:left w:w="90" w:type="dxa"/>
              <w:bottom w:w="65" w:type="dxa"/>
              <w:right w:w="90" w:type="dxa"/>
            </w:tcMar>
          </w:tcPr>
          <w:p w14:paraId="6EB38FD9" w14:textId="77777777" w:rsidR="00E375BE" w:rsidRDefault="004313A7">
            <w:pPr>
              <w:spacing w:after="0" w:line="259" w:lineRule="auto"/>
            </w:pPr>
            <w:r>
              <w:rPr>
                <w:rFonts w:ascii="Calibri" w:hAnsi="Calibri" w:cs="Calibri"/>
                <w:b w:val="0"/>
                <w:color w:val="222222"/>
                <w:sz w:val="17"/>
              </w:rPr>
              <w:t>Provisioning of the managed PostgreSQL instance, selection of the hosting region, and configuration of environment variables and service credentials.</w:t>
            </w:r>
          </w:p>
        </w:tc>
        <w:tc>
          <w:tcPr>
            <w:tcW w:w="1872" w:type="dxa"/>
            <w:shd w:val="clear" w:color="auto" w:fill="FFFFFF"/>
            <w:tcMar>
              <w:top w:w="65" w:type="dxa"/>
              <w:left w:w="90" w:type="dxa"/>
              <w:bottom w:w="65" w:type="dxa"/>
              <w:right w:w="90" w:type="dxa"/>
            </w:tcMar>
          </w:tcPr>
          <w:p w14:paraId="79A25F9B" w14:textId="77777777" w:rsidR="00E375BE" w:rsidRDefault="004313A7">
            <w:pPr>
              <w:spacing w:after="0" w:line="259" w:lineRule="auto"/>
              <w:jc w:val="right"/>
            </w:pPr>
            <w:r>
              <w:rPr>
                <w:rFonts w:ascii="Calibri" w:hAnsi="Calibri" w:cs="Calibri"/>
                <w:b w:val="0"/>
                <w:color w:val="222222"/>
                <w:sz w:val="17"/>
              </w:rPr>
              <w:t>₱500.00</w:t>
            </w:r>
          </w:p>
        </w:tc>
      </w:tr>
      <w:tr w:rsidR="00E375BE" w14:paraId="653AAD2D" w14:textId="77777777">
        <w:trPr>
          <w:jc w:val="center"/>
        </w:trPr>
        <w:tc>
          <w:tcPr>
            <w:tcW w:w="2160" w:type="dxa"/>
            <w:shd w:val="clear" w:color="auto" w:fill="FFFFFF"/>
            <w:tcMar>
              <w:top w:w="65" w:type="dxa"/>
              <w:left w:w="90" w:type="dxa"/>
              <w:bottom w:w="65" w:type="dxa"/>
              <w:right w:w="90" w:type="dxa"/>
            </w:tcMar>
          </w:tcPr>
          <w:p w14:paraId="1CC28D4D" w14:textId="77777777" w:rsidR="00E375BE" w:rsidRDefault="004313A7">
            <w:pPr>
              <w:spacing w:after="0" w:line="259" w:lineRule="auto"/>
            </w:pPr>
            <w:r>
              <w:rPr>
                <w:rFonts w:ascii="Calibri" w:hAnsi="Calibri" w:cs="Calibri"/>
                <w:b w:val="0"/>
                <w:color w:val="1B365D"/>
                <w:sz w:val="17"/>
              </w:rPr>
              <w:t>2.2  Database schema migration</w:t>
            </w:r>
          </w:p>
        </w:tc>
        <w:tc>
          <w:tcPr>
            <w:tcW w:w="6048" w:type="dxa"/>
            <w:shd w:val="clear" w:color="auto" w:fill="FFFFFF"/>
            <w:tcMar>
              <w:top w:w="65" w:type="dxa"/>
              <w:left w:w="90" w:type="dxa"/>
              <w:bottom w:w="65" w:type="dxa"/>
              <w:right w:w="90" w:type="dxa"/>
            </w:tcMar>
          </w:tcPr>
          <w:p w14:paraId="6EB38FD9" w14:textId="77777777" w:rsidR="00E375BE" w:rsidRDefault="004313A7">
            <w:pPr>
              <w:spacing w:after="0" w:line="259" w:lineRule="auto"/>
            </w:pPr>
            <w:r>
              <w:rPr>
                <w:rFonts w:ascii="Calibri" w:hAnsi="Calibri" w:cs="Calibri"/>
                <w:b w:val="0"/>
                <w:color w:val="222222"/>
                <w:sz w:val="17"/>
              </w:rPr>
              <w:t>Execution of the complete versioned schema (32 migration files) and verification of table, index, and constraint integrity.</w:t>
            </w:r>
          </w:p>
        </w:tc>
        <w:tc>
          <w:tcPr>
            <w:tcW w:w="1872" w:type="dxa"/>
            <w:shd w:val="clear" w:color="auto" w:fill="FFFFFF"/>
            <w:tcMar>
              <w:top w:w="65" w:type="dxa"/>
              <w:left w:w="90" w:type="dxa"/>
              <w:bottom w:w="65" w:type="dxa"/>
              <w:right w:w="90" w:type="dxa"/>
            </w:tcMar>
          </w:tcPr>
          <w:p w14:paraId="79A25F9B" w14:textId="77777777" w:rsidR="00E375BE" w:rsidRDefault="004313A7">
            <w:pPr>
              <w:spacing w:after="0" w:line="259" w:lineRule="auto"/>
              <w:jc w:val="right"/>
            </w:pPr>
            <w:r>
              <w:rPr>
                <w:rFonts w:ascii="Calibri" w:hAnsi="Calibri" w:cs="Calibri"/>
                <w:b w:val="0"/>
                <w:color w:val="222222"/>
                <w:sz w:val="17"/>
              </w:rPr>
              <w:t>₱750.00</w:t>
            </w:r>
          </w:p>
        </w:tc>
      </w:tr>
      <w:tr w:rsidR="00E375BE" w14:paraId="653AAD2D" w14:textId="77777777">
        <w:trPr>
          <w:jc w:val="center"/>
        </w:trPr>
        <w:tc>
          <w:tcPr>
            <w:tcW w:w="2160" w:type="dxa"/>
            <w:shd w:val="clear" w:color="auto" w:fill="FFFFFF"/>
            <w:tcMar>
              <w:top w:w="65" w:type="dxa"/>
              <w:left w:w="90" w:type="dxa"/>
              <w:bottom w:w="65" w:type="dxa"/>
              <w:right w:w="90" w:type="dxa"/>
            </w:tcMar>
          </w:tcPr>
          <w:p w14:paraId="1CC28D4D" w14:textId="77777777" w:rsidR="00E375BE" w:rsidRDefault="004313A7">
            <w:pPr>
              <w:spacing w:after="0" w:line="259" w:lineRule="auto"/>
            </w:pPr>
            <w:r>
              <w:rPr>
                <w:rFonts w:ascii="Calibri" w:hAnsi="Calibri" w:cs="Calibri"/>
                <w:b w:val="0"/>
                <w:color w:val="1B365D"/>
                <w:sz w:val="17"/>
              </w:rPr>
              <w:t>2.3  Row-level security policy application</w:t>
            </w:r>
          </w:p>
        </w:tc>
        <w:tc>
          <w:tcPr>
            <w:tcW w:w="6048" w:type="dxa"/>
            <w:shd w:val="clear" w:color="auto" w:fill="FFFFFF"/>
            <w:tcMar>
              <w:top w:w="65" w:type="dxa"/>
              <w:left w:w="90" w:type="dxa"/>
              <w:bottom w:w="65" w:type="dxa"/>
              <w:right w:w="90" w:type="dxa"/>
            </w:tcMar>
          </w:tcPr>
          <w:p w14:paraId="6EB38FD9" w14:textId="77777777" w:rsidR="00E375BE" w:rsidRDefault="004313A7">
            <w:pPr>
              <w:spacing w:after="0" w:line="259" w:lineRule="auto"/>
            </w:pPr>
            <w:r>
              <w:rPr>
                <w:rFonts w:ascii="Calibri" w:hAnsi="Calibri" w:cs="Calibri"/>
                <w:b w:val="0"/>
                <w:color w:val="222222"/>
                <w:sz w:val="17"/>
              </w:rPr>
              <w:t>Application of row-level security policies and verification that each role can reach only its permitted records.</w:t>
            </w:r>
          </w:p>
        </w:tc>
        <w:tc>
          <w:tcPr>
            <w:tcW w:w="1872" w:type="dxa"/>
            <w:shd w:val="clear" w:color="auto" w:fill="FFFFFF"/>
            <w:tcMar>
              <w:top w:w="65" w:type="dxa"/>
              <w:left w:w="90" w:type="dxa"/>
              <w:bottom w:w="65" w:type="dxa"/>
              <w:right w:w="90" w:type="dxa"/>
            </w:tcMar>
          </w:tcPr>
          <w:p w14:paraId="79A25F9B" w14:textId="77777777" w:rsidR="00E375BE" w:rsidRDefault="004313A7">
            <w:pPr>
              <w:spacing w:after="0" w:line="259" w:lineRule="auto"/>
              <w:jc w:val="right"/>
            </w:pPr>
            <w:r>
              <w:rPr>
                <w:rFonts w:ascii="Calibri" w:hAnsi="Calibri" w:cs="Calibri"/>
                <w:b w:val="0"/>
                <w:color w:val="222222"/>
                <w:sz w:val="17"/>
              </w:rPr>
              <w:t>₱750.00</w:t>
            </w:r>
          </w:p>
        </w:tc>
      </w:tr>
      <w:tr w:rsidR="00E375BE" w14:paraId="653AAD2D" w14:textId="77777777">
        <w:trPr>
          <w:jc w:val="center"/>
        </w:trPr>
        <w:tc>
          <w:tcPr>
            <w:tcW w:w="2160" w:type="dxa"/>
            <w:shd w:val="clear" w:color="auto" w:fill="FFFFFF"/>
            <w:tcMar>
              <w:top w:w="65" w:type="dxa"/>
              <w:left w:w="90" w:type="dxa"/>
              <w:bottom w:w="65" w:type="dxa"/>
              <w:right w:w="90" w:type="dxa"/>
            </w:tcMar>
          </w:tcPr>
          <w:p w14:paraId="1CC28D4D" w14:textId="77777777" w:rsidR="00E375BE" w:rsidRDefault="004313A7">
            <w:pPr>
              <w:spacing w:after="0" w:line="259" w:lineRule="auto"/>
            </w:pPr>
            <w:r>
              <w:rPr>
                <w:rFonts w:ascii="Calibri" w:hAnsi="Calibri" w:cs="Calibri"/>
                <w:b w:val="0"/>
                <w:color w:val="1B365D"/>
                <w:sz w:val="17"/>
              </w:rPr>
              <w:t>2.4  Curriculum and prospectus encoding</w:t>
            </w:r>
          </w:p>
        </w:tc>
        <w:tc>
          <w:tcPr>
            <w:tcW w:w="6048" w:type="dxa"/>
            <w:shd w:val="clear" w:color="auto" w:fill="FFFFFF"/>
            <w:tcMar>
              <w:top w:w="65" w:type="dxa"/>
              <w:left w:w="90" w:type="dxa"/>
              <w:bottom w:w="65" w:type="dxa"/>
              <w:right w:w="90" w:type="dxa"/>
            </w:tcMar>
          </w:tcPr>
          <w:p w14:paraId="6EB38FD9" w14:textId="77777777" w:rsidR="00E375BE" w:rsidRDefault="004313A7">
            <w:pPr>
              <w:spacing w:after="0" w:line="259" w:lineRule="auto"/>
            </w:pPr>
            <w:r>
              <w:rPr>
                <w:rFonts w:ascii="Calibri" w:hAnsi="Calibri" w:cs="Calibri"/>
                <w:b w:val="0"/>
                <w:color w:val="222222"/>
                <w:sz w:val="17"/>
              </w:rPr>
              <w:t>Encoding of degree program structures, including subject codes, lecture and laboratory unit values, total units, and prerequisite rules. Charged per program.</w:t>
            </w:r>
          </w:p>
        </w:tc>
        <w:tc>
          <w:tcPr>
            <w:tcW w:w="1872" w:type="dxa"/>
            <w:shd w:val="clear" w:color="auto" w:fill="FFFFFF"/>
            <w:tcMar>
              <w:top w:w="65" w:type="dxa"/>
              <w:left w:w="90" w:type="dxa"/>
              <w:bottom w:w="65" w:type="dxa"/>
              <w:right w:w="90" w:type="dxa"/>
            </w:tcMar>
          </w:tcPr>
          <w:p w14:paraId="79A25F9B" w14:textId="77777777" w:rsidR="00E375BE" w:rsidRDefault="004313A7">
            <w:pPr>
              <w:spacing w:after="0" w:line="259" w:lineRule="auto"/>
              <w:jc w:val="right"/>
            </w:pPr>
            <w:r>
              <w:rPr>
                <w:rFonts w:ascii="Calibri" w:hAnsi="Calibri" w:cs="Calibri"/>
                <w:b w:val="0"/>
                <w:color w:val="222222"/>
                <w:sz w:val="17"/>
              </w:rPr>
              <w:t>₱1,500.00</w:t>
            </w:r>
          </w:p>
        </w:tc>
      </w:tr>
      <w:tr w:rsidR="00E375BE" w14:paraId="653AAD2D" w14:textId="77777777">
        <w:trPr>
          <w:jc w:val="center"/>
        </w:trPr>
        <w:tc>
          <w:tcPr>
            <w:tcW w:w="2160" w:type="dxa"/>
            <w:shd w:val="clear" w:color="auto" w:fill="FFFFFF"/>
            <w:tcMar>
              <w:top w:w="65" w:type="dxa"/>
              <w:left w:w="90" w:type="dxa"/>
              <w:bottom w:w="65" w:type="dxa"/>
              <w:right w:w="90" w:type="dxa"/>
            </w:tcMar>
          </w:tcPr>
          <w:p w14:paraId="1CC28D4D" w14:textId="77777777" w:rsidR="00E375BE" w:rsidRDefault="004313A7">
            <w:pPr>
              <w:spacing w:after="0" w:line="259" w:lineRule="auto"/>
            </w:pPr>
            <w:r>
              <w:rPr>
                <w:rFonts w:ascii="Calibri" w:hAnsi="Calibri" w:cs="Calibri"/>
                <w:b w:val="0"/>
                <w:color w:val="1B365D"/>
                <w:sz w:val="17"/>
              </w:rPr>
              <w:t>2.5  Student roster import</w:t>
            </w:r>
          </w:p>
        </w:tc>
        <w:tc>
          <w:tcPr>
            <w:tcW w:w="6048" w:type="dxa"/>
            <w:shd w:val="clear" w:color="auto" w:fill="FFFFFF"/>
            <w:tcMar>
              <w:top w:w="65" w:type="dxa"/>
              <w:left w:w="90" w:type="dxa"/>
              <w:bottom w:w="65" w:type="dxa"/>
              <w:right w:w="90" w:type="dxa"/>
            </w:tcMar>
          </w:tcPr>
          <w:p w14:paraId="6EB38FD9" w14:textId="77777777" w:rsidR="00E375BE" w:rsidRDefault="004313A7">
            <w:pPr>
              <w:spacing w:after="0" w:line="259" w:lineRule="auto"/>
            </w:pPr>
            <w:r>
              <w:rPr>
                <w:rFonts w:ascii="Calibri" w:hAnsi="Calibri" w:cs="Calibri"/>
                <w:b w:val="0"/>
                <w:color w:val="222222"/>
                <w:sz w:val="17"/>
              </w:rPr>
              <w:t>Import of the official student roster and reconciliation of the imported records against the registrar's source list.</w:t>
            </w:r>
          </w:p>
        </w:tc>
        <w:tc>
          <w:tcPr>
            <w:tcW w:w="1872" w:type="dxa"/>
            <w:shd w:val="clear" w:color="auto" w:fill="FFFFFF"/>
            <w:tcMar>
              <w:top w:w="65" w:type="dxa"/>
              <w:left w:w="90" w:type="dxa"/>
              <w:bottom w:w="65" w:type="dxa"/>
              <w:right w:w="90" w:type="dxa"/>
            </w:tcMar>
          </w:tcPr>
          <w:p w14:paraId="79A25F9B" w14:textId="77777777" w:rsidR="00E375BE" w:rsidRDefault="004313A7">
            <w:pPr>
              <w:spacing w:after="0" w:line="259" w:lineRule="auto"/>
              <w:jc w:val="right"/>
            </w:pPr>
            <w:r>
              <w:rPr>
                <w:rFonts w:ascii="Calibri" w:hAnsi="Calibri" w:cs="Calibri"/>
                <w:b w:val="0"/>
                <w:color w:val="222222"/>
                <w:sz w:val="17"/>
              </w:rPr>
              <w:t>₱750.00</w:t>
            </w:r>
          </w:p>
        </w:tc>
      </w:tr>
      <w:tr w:rsidR="00E375BE" w14:paraId="653AAD2D" w14:textId="77777777">
        <w:trPr>
          <w:jc w:val="center"/>
        </w:trPr>
        <w:tc>
          <w:tcPr>
            <w:tcW w:w="2160" w:type="dxa"/>
            <w:shd w:val="clear" w:color="auto" w:fill="FFFFFF"/>
            <w:tcMar>
              <w:top w:w="65" w:type="dxa"/>
              <w:left w:w="90" w:type="dxa"/>
              <w:bottom w:w="65" w:type="dxa"/>
              <w:right w:w="90" w:type="dxa"/>
            </w:tcMar>
          </w:tcPr>
          <w:p w14:paraId="1CC28D4D" w14:textId="77777777" w:rsidR="00E375BE" w:rsidRDefault="004313A7">
            <w:pPr>
              <w:spacing w:after="0" w:line="259" w:lineRule="auto"/>
            </w:pPr>
            <w:r>
              <w:rPr>
                <w:rFonts w:ascii="Calibri" w:hAnsi="Calibri" w:cs="Calibri"/>
                <w:b w:val="0"/>
                <w:color w:val="1B365D"/>
                <w:sz w:val="17"/>
              </w:rPr>
              <w:t>2.6  Opening fund balance setup</w:t>
            </w:r>
          </w:p>
        </w:tc>
        <w:tc>
          <w:tcPr>
            <w:tcW w:w="6048" w:type="dxa"/>
            <w:shd w:val="clear" w:color="auto" w:fill="FFFFFF"/>
            <w:tcMar>
              <w:top w:w="65" w:type="dxa"/>
              <w:left w:w="90" w:type="dxa"/>
              <w:bottom w:w="65" w:type="dxa"/>
              <w:right w:w="90" w:type="dxa"/>
            </w:tcMar>
          </w:tcPr>
          <w:p w14:paraId="6EB38FD9" w14:textId="77777777" w:rsidR="00E375BE" w:rsidRDefault="004313A7">
            <w:pPr>
              <w:spacing w:after="0" w:line="259" w:lineRule="auto"/>
            </w:pPr>
            <w:r>
              <w:rPr>
                <w:rFonts w:ascii="Calibri" w:hAnsi="Calibri" w:cs="Calibri"/>
                <w:b w:val="0"/>
                <w:color w:val="222222"/>
                <w:sz w:val="17"/>
              </w:rPr>
              <w:t>Establishment of the opening general fund and activity balances, verified against the institution's source records.</w:t>
            </w:r>
          </w:p>
        </w:tc>
        <w:tc>
          <w:tcPr>
            <w:tcW w:w="1872" w:type="dxa"/>
            <w:shd w:val="clear" w:color="auto" w:fill="FFFFFF"/>
            <w:tcMar>
              <w:top w:w="65" w:type="dxa"/>
              <w:left w:w="90" w:type="dxa"/>
              <w:bottom w:w="65" w:type="dxa"/>
              <w:right w:w="90" w:type="dxa"/>
            </w:tcMar>
          </w:tcPr>
          <w:p w14:paraId="79A25F9B" w14:textId="77777777" w:rsidR="00E375BE" w:rsidRDefault="004313A7">
            <w:pPr>
              <w:spacing w:after="0" w:line="259" w:lineRule="auto"/>
              <w:jc w:val="right"/>
            </w:pPr>
            <w:r>
              <w:rPr>
                <w:rFonts w:ascii="Calibri" w:hAnsi="Calibri" w:cs="Calibri"/>
                <w:b w:val="0"/>
                <w:color w:val="222222"/>
                <w:sz w:val="17"/>
              </w:rPr>
              <w:t>₱750.00</w:t>
            </w:r>
          </w:p>
        </w:tc>
      </w:tr>
      <w:tr w:rsidR="00E375BE" w14:paraId="310B6230" w14:textId="77777777">
        <w:trPr>
          <w:jc w:val="center"/>
        </w:trPr>
        <w:tc>
          <w:tcPr>
            <w:tcW w:w="2160" w:type="dxa"/>
            <w:shd w:val="clear" w:color="auto" w:fill="F9FAFC"/>
            <w:tcMar>
              <w:top w:w="65" w:type="dxa"/>
              <w:left w:w="90" w:type="dxa"/>
              <w:bottom w:w="65" w:type="dxa"/>
              <w:right w:w="90" w:type="dxa"/>
            </w:tcMar>
          </w:tcPr>
          <w:p w14:paraId="1EBCC962" w14:textId="77777777" w:rsidR="00E375BE" w:rsidRDefault="004313A7">
            <w:pPr>
              <w:spacing w:after="0" w:line="259" w:lineRule="auto"/>
            </w:pPr>
            <w:r>
              <w:rPr>
                <w:rFonts w:ascii="Calibri" w:hAnsi="Calibri" w:cs="Calibri"/>
                <w:b/>
                <w:color w:val="1B365D"/>
                <w:sz w:val="17"/>
              </w:rPr>
              <w:t>3. Role-Based Training &amp; Documentation Handover</w:t>
            </w:r>
          </w:p>
        </w:tc>
        <w:tc>
          <w:tcPr>
            <w:tcW w:w="6048" w:type="dxa"/>
            <w:shd w:val="clear" w:color="auto" w:fill="F9FAFC"/>
            <w:tcMar>
              <w:top w:w="65" w:type="dxa"/>
              <w:left w:w="90" w:type="dxa"/>
              <w:bottom w:w="65" w:type="dxa"/>
              <w:right w:w="90" w:type="dxa"/>
            </w:tcMar>
          </w:tcPr>
          <w:p w14:paraId="4B86659B" w14:textId="77777777" w:rsidR="00E375BE" w:rsidRDefault="004313A7">
            <w:pPr>
              <w:spacing w:after="0" w:line="259" w:lineRule="auto"/>
            </w:pPr>
            <w:r>
              <w:rPr>
                <w:rFonts w:ascii="Calibri" w:hAnsi="Calibri" w:cs="Calibri"/>
                <w:b w:val="0"/>
                <w:color w:val="222222"/>
                <w:sz w:val="17"/>
              </w:rPr>
              <w:t>Role-specific training workshops and complete written documentation for each user group.</w:t>
            </w:r>
          </w:p>
        </w:tc>
        <w:tc>
          <w:tcPr>
            <w:tcW w:w="1872" w:type="dxa"/>
            <w:shd w:val="clear" w:color="auto" w:fill="F9FAFC"/>
            <w:tcMar>
              <w:top w:w="65" w:type="dxa"/>
              <w:left w:w="90" w:type="dxa"/>
              <w:bottom w:w="65" w:type="dxa"/>
              <w:right w:w="90" w:type="dxa"/>
            </w:tcMar>
          </w:tcPr>
          <w:p w14:paraId="7DF4BD34" w14:textId="77777777" w:rsidR="00E375BE" w:rsidRDefault="004313A7">
            <w:pPr>
              <w:spacing w:after="0" w:line="259" w:lineRule="auto"/>
              <w:jc w:val="right"/>
            </w:pPr>
            <w:r>
              <w:rPr>
                <w:rFonts w:ascii="Calibri" w:hAnsi="Calibri" w:cs="Calibri"/>
                <w:b/>
                <w:color w:val="1B365D"/>
                <w:sz w:val="17"/>
              </w:rPr>
              <w:t>₱4,000.00</w:t>
            </w:r>
          </w:p>
        </w:tc>
      </w:tr>
      <w:tr w:rsidR="00E375BE" w14:paraId="653AAD2D" w14:textId="77777777">
        <w:trPr>
          <w:jc w:val="center"/>
        </w:trPr>
        <w:tc>
          <w:tcPr>
            <w:tcW w:w="2160" w:type="dxa"/>
            <w:shd w:val="clear" w:color="auto" w:fill="FFFFFF"/>
            <w:tcMar>
              <w:top w:w="65" w:type="dxa"/>
              <w:left w:w="90" w:type="dxa"/>
              <w:bottom w:w="65" w:type="dxa"/>
              <w:right w:w="90" w:type="dxa"/>
            </w:tcMar>
          </w:tcPr>
          <w:p w14:paraId="1CC28D4D" w14:textId="77777777" w:rsidR="00E375BE" w:rsidRDefault="004313A7">
            <w:pPr>
              <w:spacing w:after="0" w:line="259" w:lineRule="auto"/>
            </w:pPr>
            <w:r>
              <w:rPr>
                <w:rFonts w:ascii="Calibri" w:hAnsi="Calibri" w:cs="Calibri"/>
                <w:b w:val="0"/>
                <w:color w:val="1B365D"/>
                <w:sz w:val="17"/>
              </w:rPr>
              <w:t>3.1  Training: Officers and Cashiers</w:t>
            </w:r>
          </w:p>
        </w:tc>
        <w:tc>
          <w:tcPr>
            <w:tcW w:w="6048" w:type="dxa"/>
            <w:shd w:val="clear" w:color="auto" w:fill="FFFFFF"/>
            <w:tcMar>
              <w:top w:w="65" w:type="dxa"/>
              <w:left w:w="90" w:type="dxa"/>
              <w:bottom w:w="65" w:type="dxa"/>
              <w:right w:w="90" w:type="dxa"/>
            </w:tcMar>
          </w:tcPr>
          <w:p w14:paraId="6EB38FD9" w14:textId="77777777" w:rsidR="00E375BE" w:rsidRDefault="004313A7">
            <w:pPr>
              <w:spacing w:after="0" w:line="259" w:lineRule="auto"/>
            </w:pPr>
            <w:r>
              <w:rPr>
                <w:rFonts w:ascii="Calibri" w:hAnsi="Calibri" w:cs="Calibri"/>
                <w:b w:val="0"/>
                <w:color w:val="222222"/>
                <w:sz w:val="17"/>
              </w:rPr>
              <w:t>Focused session on recording transactions, attaching receipts, monitoring activity budgets, and generating liquidation reports.</w:t>
            </w:r>
          </w:p>
        </w:tc>
        <w:tc>
          <w:tcPr>
            <w:tcW w:w="1872" w:type="dxa"/>
            <w:shd w:val="clear" w:color="auto" w:fill="FFFFFF"/>
            <w:tcMar>
              <w:top w:w="65" w:type="dxa"/>
              <w:left w:w="90" w:type="dxa"/>
              <w:bottom w:w="65" w:type="dxa"/>
              <w:right w:w="90" w:type="dxa"/>
            </w:tcMar>
          </w:tcPr>
          <w:p w14:paraId="79A25F9B" w14:textId="77777777" w:rsidR="00E375BE" w:rsidRDefault="004313A7">
            <w:pPr>
              <w:spacing w:after="0" w:line="259" w:lineRule="auto"/>
              <w:jc w:val="right"/>
            </w:pPr>
            <w:r>
              <w:rPr>
                <w:rFonts w:ascii="Calibri" w:hAnsi="Calibri" w:cs="Calibri"/>
                <w:b w:val="0"/>
                <w:color w:val="222222"/>
                <w:sz w:val="17"/>
              </w:rPr>
              <w:t>₱1,000.00</w:t>
            </w:r>
          </w:p>
        </w:tc>
      </w:tr>
      <w:tr w:rsidR="00E375BE" w14:paraId="653AAD2D" w14:textId="77777777">
        <w:trPr>
          <w:jc w:val="center"/>
        </w:trPr>
        <w:tc>
          <w:tcPr>
            <w:tcW w:w="2160" w:type="dxa"/>
            <w:shd w:val="clear" w:color="auto" w:fill="FFFFFF"/>
            <w:tcMar>
              <w:top w:w="65" w:type="dxa"/>
              <w:left w:w="90" w:type="dxa"/>
              <w:bottom w:w="65" w:type="dxa"/>
              <w:right w:w="90" w:type="dxa"/>
            </w:tcMar>
          </w:tcPr>
          <w:p w14:paraId="1CC28D4D" w14:textId="77777777" w:rsidR="00E375BE" w:rsidRDefault="004313A7">
            <w:pPr>
              <w:spacing w:after="0" w:line="259" w:lineRule="auto"/>
            </w:pPr>
            <w:r>
              <w:rPr>
                <w:rFonts w:ascii="Calibri" w:hAnsi="Calibri" w:cs="Calibri"/>
                <w:b w:val="0"/>
                <w:color w:val="1B365D"/>
                <w:sz w:val="17"/>
              </w:rPr>
              <w:t>3.2  Training: Program Heads and Dean</w:t>
            </w:r>
          </w:p>
        </w:tc>
        <w:tc>
          <w:tcPr>
            <w:tcW w:w="6048" w:type="dxa"/>
            <w:shd w:val="clear" w:color="auto" w:fill="FFFFFF"/>
            <w:tcMar>
              <w:top w:w="65" w:type="dxa"/>
              <w:left w:w="90" w:type="dxa"/>
              <w:bottom w:w="65" w:type="dxa"/>
              <w:right w:w="90" w:type="dxa"/>
            </w:tcMar>
          </w:tcPr>
          <w:p w14:paraId="6EB38FD9" w14:textId="77777777" w:rsidR="00E375BE" w:rsidRDefault="004313A7">
            <w:pPr>
              <w:spacing w:after="0" w:line="259" w:lineRule="auto"/>
            </w:pPr>
            <w:r>
              <w:rPr>
                <w:rFonts w:ascii="Calibri" w:hAnsi="Calibri" w:cs="Calibri"/>
                <w:b w:val="0"/>
                <w:color w:val="222222"/>
                <w:sz w:val="17"/>
              </w:rPr>
              <w:t>Focused session on evaluating submitted academic loads, approving or returning submissions, and exporting the encoding queue.</w:t>
            </w:r>
          </w:p>
        </w:tc>
        <w:tc>
          <w:tcPr>
            <w:tcW w:w="1872" w:type="dxa"/>
            <w:shd w:val="clear" w:color="auto" w:fill="FFFFFF"/>
            <w:tcMar>
              <w:top w:w="65" w:type="dxa"/>
              <w:left w:w="90" w:type="dxa"/>
              <w:bottom w:w="65" w:type="dxa"/>
              <w:right w:w="90" w:type="dxa"/>
            </w:tcMar>
          </w:tcPr>
          <w:p w14:paraId="79A25F9B" w14:textId="77777777" w:rsidR="00E375BE" w:rsidRDefault="004313A7">
            <w:pPr>
              <w:spacing w:after="0" w:line="259" w:lineRule="auto"/>
              <w:jc w:val="right"/>
            </w:pPr>
            <w:r>
              <w:rPr>
                <w:rFonts w:ascii="Calibri" w:hAnsi="Calibri" w:cs="Calibri"/>
                <w:b w:val="0"/>
                <w:color w:val="222222"/>
                <w:sz w:val="17"/>
              </w:rPr>
              <w:t>₱750.00</w:t>
            </w:r>
          </w:p>
        </w:tc>
      </w:tr>
      <w:tr w:rsidR="00E375BE" w14:paraId="653AAD2D" w14:textId="77777777">
        <w:trPr>
          <w:jc w:val="center"/>
        </w:trPr>
        <w:tc>
          <w:tcPr>
            <w:tcW w:w="2160" w:type="dxa"/>
            <w:shd w:val="clear" w:color="auto" w:fill="FFFFFF"/>
            <w:tcMar>
              <w:top w:w="65" w:type="dxa"/>
              <w:left w:w="90" w:type="dxa"/>
              <w:bottom w:w="65" w:type="dxa"/>
              <w:right w:w="90" w:type="dxa"/>
            </w:tcMar>
          </w:tcPr>
          <w:p w14:paraId="1CC28D4D" w14:textId="77777777" w:rsidR="00E375BE" w:rsidRDefault="004313A7">
            <w:pPr>
              <w:spacing w:after="0" w:line="259" w:lineRule="auto"/>
            </w:pPr>
            <w:r>
              <w:rPr>
                <w:rFonts w:ascii="Calibri" w:hAnsi="Calibri" w:cs="Calibri"/>
                <w:b w:val="0"/>
                <w:color w:val="1B365D"/>
                <w:sz w:val="17"/>
              </w:rPr>
              <w:t>3.3  Training: System Administrator</w:t>
            </w:r>
          </w:p>
        </w:tc>
        <w:tc>
          <w:tcPr>
            <w:tcW w:w="6048" w:type="dxa"/>
            <w:shd w:val="clear" w:color="auto" w:fill="FFFFFF"/>
            <w:tcMar>
              <w:top w:w="65" w:type="dxa"/>
              <w:left w:w="90" w:type="dxa"/>
              <w:bottom w:w="65" w:type="dxa"/>
              <w:right w:w="90" w:type="dxa"/>
            </w:tcMar>
          </w:tcPr>
          <w:p w14:paraId="6EB38FD9" w14:textId="77777777" w:rsidR="00E375BE" w:rsidRDefault="004313A7">
            <w:pPr>
              <w:spacing w:after="0" w:line="259" w:lineRule="auto"/>
            </w:pPr>
            <w:r>
              <w:rPr>
                <w:rFonts w:ascii="Calibri" w:hAnsi="Calibri" w:cs="Calibri"/>
                <w:b w:val="0"/>
                <w:color w:val="222222"/>
                <w:sz w:val="17"/>
              </w:rPr>
              <w:t>Focused session on account provisioning, role assignment, curriculum maintenance, roster management, and reading the audit log.</w:t>
            </w:r>
          </w:p>
        </w:tc>
        <w:tc>
          <w:tcPr>
            <w:tcW w:w="1872" w:type="dxa"/>
            <w:shd w:val="clear" w:color="auto" w:fill="FFFFFF"/>
            <w:tcMar>
              <w:top w:w="65" w:type="dxa"/>
              <w:left w:w="90" w:type="dxa"/>
              <w:bottom w:w="65" w:type="dxa"/>
              <w:right w:w="90" w:type="dxa"/>
            </w:tcMar>
          </w:tcPr>
          <w:p w14:paraId="79A25F9B" w14:textId="77777777" w:rsidR="00E375BE" w:rsidRDefault="004313A7">
            <w:pPr>
              <w:spacing w:after="0" w:line="259" w:lineRule="auto"/>
              <w:jc w:val="right"/>
            </w:pPr>
            <w:r>
              <w:rPr>
                <w:rFonts w:ascii="Calibri" w:hAnsi="Calibri" w:cs="Calibri"/>
                <w:b w:val="0"/>
                <w:color w:val="222222"/>
                <w:sz w:val="17"/>
              </w:rPr>
              <w:t>₱1,000.00</w:t>
            </w:r>
          </w:p>
        </w:tc>
      </w:tr>
      <w:tr w:rsidR="00E375BE" w14:paraId="653AAD2D" w14:textId="77777777">
        <w:trPr>
          <w:jc w:val="center"/>
        </w:trPr>
        <w:tc>
          <w:tcPr>
            <w:tcW w:w="2160" w:type="dxa"/>
            <w:shd w:val="clear" w:color="auto" w:fill="FFFFFF"/>
            <w:tcMar>
              <w:top w:w="65" w:type="dxa"/>
              <w:left w:w="90" w:type="dxa"/>
              <w:bottom w:w="65" w:type="dxa"/>
              <w:right w:w="90" w:type="dxa"/>
            </w:tcMar>
          </w:tcPr>
          <w:p w14:paraId="1CC28D4D" w14:textId="77777777" w:rsidR="00E375BE" w:rsidRDefault="004313A7">
            <w:pPr>
              <w:spacing w:after="0" w:line="259" w:lineRule="auto"/>
            </w:pPr>
            <w:r>
              <w:rPr>
                <w:rFonts w:ascii="Calibri" w:hAnsi="Calibri" w:cs="Calibri"/>
                <w:b w:val="0"/>
                <w:color w:val="1B365D"/>
                <w:sz w:val="17"/>
              </w:rPr>
              <w:t>3.4  Student orientation materials</w:t>
            </w:r>
          </w:p>
        </w:tc>
        <w:tc>
          <w:tcPr>
            <w:tcW w:w="6048" w:type="dxa"/>
            <w:shd w:val="clear" w:color="auto" w:fill="FFFFFF"/>
            <w:tcMar>
              <w:top w:w="65" w:type="dxa"/>
              <w:left w:w="90" w:type="dxa"/>
              <w:bottom w:w="65" w:type="dxa"/>
              <w:right w:w="90" w:type="dxa"/>
            </w:tcMar>
          </w:tcPr>
          <w:p w14:paraId="6EB38FD9" w14:textId="77777777" w:rsidR="00E375BE" w:rsidRDefault="004313A7">
            <w:pPr>
              <w:spacing w:after="0" w:line="259" w:lineRule="auto"/>
            </w:pPr>
            <w:r>
              <w:rPr>
                <w:rFonts w:ascii="Calibri" w:hAnsi="Calibri" w:cs="Calibri"/>
                <w:b w:val="0"/>
                <w:color w:val="222222"/>
                <w:sz w:val="17"/>
              </w:rPr>
              <w:t>Preparation of student-facing guidance covering load submission, viewing financial records, and installing the application to a mobile home screen.</w:t>
            </w:r>
          </w:p>
        </w:tc>
        <w:tc>
          <w:tcPr>
            <w:tcW w:w="1872" w:type="dxa"/>
            <w:shd w:val="clear" w:color="auto" w:fill="FFFFFF"/>
            <w:tcMar>
              <w:top w:w="65" w:type="dxa"/>
              <w:left w:w="90" w:type="dxa"/>
              <w:bottom w:w="65" w:type="dxa"/>
              <w:right w:w="90" w:type="dxa"/>
            </w:tcMar>
          </w:tcPr>
          <w:p w14:paraId="79A25F9B" w14:textId="77777777" w:rsidR="00E375BE" w:rsidRDefault="004313A7">
            <w:pPr>
              <w:spacing w:after="0" w:line="259" w:lineRule="auto"/>
              <w:jc w:val="right"/>
            </w:pPr>
            <w:r>
              <w:rPr>
                <w:rFonts w:ascii="Calibri" w:hAnsi="Calibri" w:cs="Calibri"/>
                <w:b w:val="0"/>
                <w:color w:val="222222"/>
                <w:sz w:val="17"/>
              </w:rPr>
              <w:t>₱500.00</w:t>
            </w:r>
          </w:p>
        </w:tc>
      </w:tr>
      <w:tr w:rsidR="00E375BE" w14:paraId="653AAD2D" w14:textId="77777777">
        <w:trPr>
          <w:jc w:val="center"/>
        </w:trPr>
        <w:tc>
          <w:tcPr>
            <w:tcW w:w="2160" w:type="dxa"/>
            <w:shd w:val="clear" w:color="auto" w:fill="FFFFFF"/>
            <w:tcMar>
              <w:top w:w="65" w:type="dxa"/>
              <w:left w:w="90" w:type="dxa"/>
              <w:bottom w:w="65" w:type="dxa"/>
              <w:right w:w="90" w:type="dxa"/>
            </w:tcMar>
          </w:tcPr>
          <w:p w14:paraId="1CC28D4D" w14:textId="77777777" w:rsidR="00E375BE" w:rsidRDefault="004313A7">
            <w:pPr>
              <w:spacing w:after="0" w:line="259" w:lineRule="auto"/>
            </w:pPr>
            <w:r>
              <w:rPr>
                <w:rFonts w:ascii="Calibri" w:hAnsi="Calibri" w:cs="Calibri"/>
                <w:b w:val="0"/>
                <w:color w:val="1B365D"/>
                <w:sz w:val="17"/>
              </w:rPr>
              <w:t>3.5  Documentation handover</w:t>
            </w:r>
          </w:p>
        </w:tc>
        <w:tc>
          <w:tcPr>
            <w:tcW w:w="6048" w:type="dxa"/>
            <w:shd w:val="clear" w:color="auto" w:fill="FFFFFF"/>
            <w:tcMar>
              <w:top w:w="65" w:type="dxa"/>
              <w:left w:w="90" w:type="dxa"/>
              <w:bottom w:w="65" w:type="dxa"/>
              <w:right w:w="90" w:type="dxa"/>
            </w:tcMar>
          </w:tcPr>
          <w:p w14:paraId="6EB38FD9" w14:textId="77777777" w:rsidR="00E375BE" w:rsidRDefault="004313A7">
            <w:pPr>
              <w:spacing w:after="0" w:line="259" w:lineRule="auto"/>
            </w:pPr>
            <w:r>
              <w:rPr>
                <w:rFonts w:ascii="Calibri" w:hAnsi="Calibri" w:cs="Calibri"/>
                <w:b w:val="0"/>
                <w:color w:val="222222"/>
                <w:sz w:val="17"/>
              </w:rPr>
              <w:t>Provision of the administrator manual, per-user-role guides, and the deployment and recovery runbook.</w:t>
            </w:r>
          </w:p>
        </w:tc>
        <w:tc>
          <w:tcPr>
            <w:tcW w:w="1872" w:type="dxa"/>
            <w:shd w:val="clear" w:color="auto" w:fill="FFFFFF"/>
            <w:tcMar>
              <w:top w:w="65" w:type="dxa"/>
              <w:left w:w="90" w:type="dxa"/>
              <w:bottom w:w="65" w:type="dxa"/>
              <w:right w:w="90" w:type="dxa"/>
            </w:tcMar>
          </w:tcPr>
          <w:p w14:paraId="79A25F9B" w14:textId="77777777" w:rsidR="00E375BE" w:rsidRDefault="004313A7">
            <w:pPr>
              <w:spacing w:after="0" w:line="259" w:lineRule="auto"/>
              <w:jc w:val="right"/>
            </w:pPr>
            <w:r>
              <w:rPr>
                <w:rFonts w:ascii="Calibri" w:hAnsi="Calibri" w:cs="Calibri"/>
                <w:b w:val="0"/>
                <w:color w:val="222222"/>
                <w:sz w:val="17"/>
              </w:rPr>
              <w:t>₱750.00</w:t>
            </w:r>
          </w:p>
        </w:tc>
      </w:tr>
      <w:tr w:rsidR="00E375BE" w14:paraId="310B6230" w14:textId="77777777">
        <w:trPr>
          <w:jc w:val="center"/>
        </w:trPr>
        <w:tc>
          <w:tcPr>
            <w:tcW w:w="2160" w:type="dxa"/>
            <w:shd w:val="clear" w:color="auto" w:fill="F9FAFC"/>
            <w:tcMar>
              <w:top w:w="65" w:type="dxa"/>
              <w:left w:w="90" w:type="dxa"/>
              <w:bottom w:w="65" w:type="dxa"/>
              <w:right w:w="90" w:type="dxa"/>
            </w:tcMar>
          </w:tcPr>
          <w:p w14:paraId="1EBCC962" w14:textId="77777777" w:rsidR="00E375BE" w:rsidRDefault="004313A7">
            <w:pPr>
              <w:spacing w:after="0" w:line="259" w:lineRule="auto"/>
            </w:pPr>
            <w:r>
              <w:rPr>
                <w:rFonts w:ascii="Calibri" w:hAnsi="Calibri" w:cs="Calibri"/>
                <w:b/>
                <w:color w:val="1B365D"/>
                <w:sz w:val="17"/>
              </w:rPr>
              <w:t>4. Security Hardening, Testing &amp; Support</w:t>
            </w:r>
          </w:p>
        </w:tc>
        <w:tc>
          <w:tcPr>
            <w:tcW w:w="6048" w:type="dxa"/>
            <w:shd w:val="clear" w:color="auto" w:fill="F9FAFC"/>
            <w:tcMar>
              <w:top w:w="65" w:type="dxa"/>
              <w:left w:w="90" w:type="dxa"/>
              <w:bottom w:w="65" w:type="dxa"/>
              <w:right w:w="90" w:type="dxa"/>
            </w:tcMar>
          </w:tcPr>
          <w:p w14:paraId="4B86659B" w14:textId="77777777" w:rsidR="00E375BE" w:rsidRDefault="004313A7">
            <w:pPr>
              <w:spacing w:after="0" w:line="259" w:lineRule="auto"/>
            </w:pPr>
            <w:r>
              <w:rPr>
                <w:rFonts w:ascii="Calibri" w:hAnsi="Calibri" w:cs="Calibri"/>
                <w:b w:val="0"/>
                <w:color w:val="222222"/>
                <w:sz w:val="17"/>
              </w:rPr>
              <w:t>Deployment hardening, verification testing, pilot support, and the twelve-month maintenance allowance.</w:t>
            </w:r>
          </w:p>
        </w:tc>
        <w:tc>
          <w:tcPr>
            <w:tcW w:w="1872" w:type="dxa"/>
            <w:shd w:val="clear" w:color="auto" w:fill="F9FAFC"/>
            <w:tcMar>
              <w:top w:w="65" w:type="dxa"/>
              <w:left w:w="90" w:type="dxa"/>
              <w:bottom w:w="65" w:type="dxa"/>
              <w:right w:w="90" w:type="dxa"/>
            </w:tcMar>
          </w:tcPr>
          <w:p w14:paraId="7DF4BD34" w14:textId="77777777" w:rsidR="00E375BE" w:rsidRDefault="004313A7">
            <w:pPr>
              <w:spacing w:after="0" w:line="259" w:lineRule="auto"/>
              <w:jc w:val="right"/>
            </w:pPr>
            <w:r>
              <w:rPr>
                <w:rFonts w:ascii="Calibri" w:hAnsi="Calibri" w:cs="Calibri"/>
                <w:b/>
                <w:color w:val="1B365D"/>
                <w:sz w:val="17"/>
              </w:rPr>
              <w:t>₱5,000.00</w:t>
            </w:r>
          </w:p>
        </w:tc>
      </w:tr>
      <w:tr w:rsidR="00E375BE" w14:paraId="653AAD2D" w14:textId="77777777">
        <w:trPr>
          <w:jc w:val="center"/>
        </w:trPr>
        <w:tc>
          <w:tcPr>
            <w:tcW w:w="2160" w:type="dxa"/>
            <w:shd w:val="clear" w:color="auto" w:fill="FFFFFF"/>
            <w:tcMar>
              <w:top w:w="65" w:type="dxa"/>
              <w:left w:w="90" w:type="dxa"/>
              <w:bottom w:w="65" w:type="dxa"/>
              <w:right w:w="90" w:type="dxa"/>
            </w:tcMar>
          </w:tcPr>
          <w:p w14:paraId="1CC28D4D" w14:textId="77777777" w:rsidR="00E375BE" w:rsidRDefault="004313A7">
            <w:pPr>
              <w:spacing w:after="0" w:line="259" w:lineRule="auto"/>
            </w:pPr>
            <w:r>
              <w:rPr>
                <w:rFonts w:ascii="Calibri" w:hAnsi="Calibri" w:cs="Calibri"/>
                <w:b w:val="0"/>
                <w:color w:val="1B365D"/>
                <w:sz w:val="17"/>
              </w:rPr>
              <w:t>4.1  Transport and header hardening</w:t>
            </w:r>
          </w:p>
        </w:tc>
        <w:tc>
          <w:tcPr>
            <w:tcW w:w="6048" w:type="dxa"/>
            <w:shd w:val="clear" w:color="auto" w:fill="FFFFFF"/>
            <w:tcMar>
              <w:top w:w="65" w:type="dxa"/>
              <w:left w:w="90" w:type="dxa"/>
              <w:bottom w:w="65" w:type="dxa"/>
              <w:right w:w="90" w:type="dxa"/>
            </w:tcMar>
          </w:tcPr>
          <w:p w14:paraId="6EB38FD9" w14:textId="77777777" w:rsidR="00E375BE" w:rsidRDefault="004313A7">
            <w:pPr>
              <w:spacing w:after="0" w:line="259" w:lineRule="auto"/>
            </w:pPr>
            <w:r>
              <w:rPr>
                <w:rFonts w:ascii="Calibri" w:hAnsi="Calibri" w:cs="Calibri"/>
                <w:b w:val="0"/>
                <w:color w:val="222222"/>
                <w:sz w:val="17"/>
              </w:rPr>
              <w:t>SSL/TLS verification, security header and content security policy configuration, and definition of the permitted cross-origin request origins.</w:t>
            </w:r>
          </w:p>
        </w:tc>
        <w:tc>
          <w:tcPr>
            <w:tcW w:w="1872" w:type="dxa"/>
            <w:shd w:val="clear" w:color="auto" w:fill="FFFFFF"/>
            <w:tcMar>
              <w:top w:w="65" w:type="dxa"/>
              <w:left w:w="90" w:type="dxa"/>
              <w:bottom w:w="65" w:type="dxa"/>
              <w:right w:w="90" w:type="dxa"/>
            </w:tcMar>
          </w:tcPr>
          <w:p w14:paraId="79A25F9B" w14:textId="77777777" w:rsidR="00E375BE" w:rsidRDefault="004313A7">
            <w:pPr>
              <w:spacing w:after="0" w:line="259" w:lineRule="auto"/>
              <w:jc w:val="right"/>
            </w:pPr>
            <w:r>
              <w:rPr>
                <w:rFonts w:ascii="Calibri" w:hAnsi="Calibri" w:cs="Calibri"/>
                <w:b w:val="0"/>
                <w:color w:val="222222"/>
                <w:sz w:val="17"/>
              </w:rPr>
              <w:t>₱750.00</w:t>
            </w:r>
          </w:p>
        </w:tc>
      </w:tr>
      <w:tr w:rsidR="00E375BE" w14:paraId="653AAD2D" w14:textId="77777777">
        <w:trPr>
          <w:jc w:val="center"/>
        </w:trPr>
        <w:tc>
          <w:tcPr>
            <w:tcW w:w="2160" w:type="dxa"/>
            <w:shd w:val="clear" w:color="auto" w:fill="FFFFFF"/>
            <w:tcMar>
              <w:top w:w="65" w:type="dxa"/>
              <w:left w:w="90" w:type="dxa"/>
              <w:bottom w:w="65" w:type="dxa"/>
              <w:right w:w="90" w:type="dxa"/>
            </w:tcMar>
          </w:tcPr>
          <w:p w14:paraId="1CC28D4D" w14:textId="77777777" w:rsidR="00E375BE" w:rsidRDefault="004313A7">
            <w:pPr>
              <w:spacing w:after="0" w:line="259" w:lineRule="auto"/>
            </w:pPr>
            <w:r>
              <w:rPr>
                <w:rFonts w:ascii="Calibri" w:hAnsi="Calibri" w:cs="Calibri"/>
                <w:b w:val="0"/>
                <w:color w:val="1B365D"/>
                <w:sz w:val="17"/>
              </w:rPr>
              <w:t>4.2  Rate-limit calibration</w:t>
            </w:r>
          </w:p>
        </w:tc>
        <w:tc>
          <w:tcPr>
            <w:tcW w:w="6048" w:type="dxa"/>
            <w:shd w:val="clear" w:color="auto" w:fill="FFFFFF"/>
            <w:tcMar>
              <w:top w:w="65" w:type="dxa"/>
              <w:left w:w="90" w:type="dxa"/>
              <w:bottom w:w="65" w:type="dxa"/>
              <w:right w:w="90" w:type="dxa"/>
            </w:tcMar>
          </w:tcPr>
          <w:p w14:paraId="6EB38FD9" w14:textId="77777777" w:rsidR="00E375BE" w:rsidRDefault="004313A7">
            <w:pPr>
              <w:spacing w:after="0" w:line="259" w:lineRule="auto"/>
            </w:pPr>
            <w:r>
              <w:rPr>
                <w:rFonts w:ascii="Calibri" w:hAnsi="Calibri" w:cs="Calibri"/>
                <w:b w:val="0"/>
                <w:color w:val="222222"/>
                <w:sz w:val="17"/>
              </w:rPr>
              <w:t>Configuration and verification of request rate limits for general traffic, sensitive operations, and per-user write activity.</w:t>
            </w:r>
          </w:p>
        </w:tc>
        <w:tc>
          <w:tcPr>
            <w:tcW w:w="1872" w:type="dxa"/>
            <w:shd w:val="clear" w:color="auto" w:fill="FFFFFF"/>
            <w:tcMar>
              <w:top w:w="65" w:type="dxa"/>
              <w:left w:w="90" w:type="dxa"/>
              <w:bottom w:w="65" w:type="dxa"/>
              <w:right w:w="90" w:type="dxa"/>
            </w:tcMar>
          </w:tcPr>
          <w:p w14:paraId="79A25F9B" w14:textId="77777777" w:rsidR="00E375BE" w:rsidRDefault="004313A7">
            <w:pPr>
              <w:spacing w:after="0" w:line="259" w:lineRule="auto"/>
              <w:jc w:val="right"/>
            </w:pPr>
            <w:r>
              <w:rPr>
                <w:rFonts w:ascii="Calibri" w:hAnsi="Calibri" w:cs="Calibri"/>
                <w:b w:val="0"/>
                <w:color w:val="222222"/>
                <w:sz w:val="17"/>
              </w:rPr>
              <w:t>₱500.00</w:t>
            </w:r>
          </w:p>
        </w:tc>
      </w:tr>
      <w:tr w:rsidR="00E375BE" w14:paraId="653AAD2D" w14:textId="77777777">
        <w:trPr>
          <w:jc w:val="center"/>
        </w:trPr>
        <w:tc>
          <w:tcPr>
            <w:tcW w:w="2160" w:type="dxa"/>
            <w:shd w:val="clear" w:color="auto" w:fill="FFFFFF"/>
            <w:tcMar>
              <w:top w:w="65" w:type="dxa"/>
              <w:left w:w="90" w:type="dxa"/>
              <w:bottom w:w="65" w:type="dxa"/>
              <w:right w:w="90" w:type="dxa"/>
            </w:tcMar>
          </w:tcPr>
          <w:p w14:paraId="1CC28D4D" w14:textId="77777777" w:rsidR="00E375BE" w:rsidRDefault="004313A7">
            <w:pPr>
              <w:spacing w:after="0" w:line="259" w:lineRule="auto"/>
            </w:pPr>
            <w:r>
              <w:rPr>
                <w:rFonts w:ascii="Calibri" w:hAnsi="Calibri" w:cs="Calibri"/>
                <w:b w:val="0"/>
                <w:color w:val="1B365D"/>
                <w:sz w:val="17"/>
              </w:rPr>
              <w:t>4.3  Automated backup workflow</w:t>
            </w:r>
          </w:p>
        </w:tc>
        <w:tc>
          <w:tcPr>
            <w:tcW w:w="6048" w:type="dxa"/>
            <w:shd w:val="clear" w:color="auto" w:fill="FFFFFF"/>
            <w:tcMar>
              <w:top w:w="65" w:type="dxa"/>
              <w:left w:w="90" w:type="dxa"/>
              <w:bottom w:w="65" w:type="dxa"/>
              <w:right w:w="90" w:type="dxa"/>
            </w:tcMar>
          </w:tcPr>
          <w:p w14:paraId="6EB38FD9" w14:textId="77777777" w:rsidR="00E375BE" w:rsidRDefault="004313A7">
            <w:pPr>
              <w:spacing w:after="0" w:line="259" w:lineRule="auto"/>
            </w:pPr>
            <w:r>
              <w:rPr>
                <w:rFonts w:ascii="Calibri" w:hAnsi="Calibri" w:cs="Calibri"/>
                <w:b w:val="0"/>
                <w:color w:val="222222"/>
                <w:sz w:val="17"/>
              </w:rPr>
              <w:t>Configuration of the scheduled encrypted database backup and retention cycle, together with a restore rehearsal to confirm recoverability.</w:t>
            </w:r>
          </w:p>
        </w:tc>
        <w:tc>
          <w:tcPr>
            <w:tcW w:w="1872" w:type="dxa"/>
            <w:shd w:val="clear" w:color="auto" w:fill="FFFFFF"/>
            <w:tcMar>
              <w:top w:w="65" w:type="dxa"/>
              <w:left w:w="90" w:type="dxa"/>
              <w:bottom w:w="65" w:type="dxa"/>
              <w:right w:w="90" w:type="dxa"/>
            </w:tcMar>
          </w:tcPr>
          <w:p w14:paraId="79A25F9B" w14:textId="77777777" w:rsidR="00E375BE" w:rsidRDefault="004313A7">
            <w:pPr>
              <w:spacing w:after="0" w:line="259" w:lineRule="auto"/>
              <w:jc w:val="right"/>
            </w:pPr>
            <w:r>
              <w:rPr>
                <w:rFonts w:ascii="Calibri" w:hAnsi="Calibri" w:cs="Calibri"/>
                <w:b w:val="0"/>
                <w:color w:val="222222"/>
                <w:sz w:val="17"/>
              </w:rPr>
              <w:t>₱750.00</w:t>
            </w:r>
          </w:p>
        </w:tc>
      </w:tr>
      <w:tr w:rsidR="00E375BE" w14:paraId="653AAD2D" w14:textId="77777777">
        <w:trPr>
          <w:jc w:val="center"/>
        </w:trPr>
        <w:tc>
          <w:tcPr>
            <w:tcW w:w="2160" w:type="dxa"/>
            <w:shd w:val="clear" w:color="auto" w:fill="FFFFFF"/>
            <w:tcMar>
              <w:top w:w="65" w:type="dxa"/>
              <w:left w:w="90" w:type="dxa"/>
              <w:bottom w:w="65" w:type="dxa"/>
              <w:right w:w="90" w:type="dxa"/>
            </w:tcMar>
          </w:tcPr>
          <w:p w14:paraId="1CC28D4D" w14:textId="77777777" w:rsidR="00E375BE" w:rsidRDefault="004313A7">
            <w:pPr>
              <w:spacing w:after="0" w:line="259" w:lineRule="auto"/>
            </w:pPr>
            <w:r>
              <w:rPr>
                <w:rFonts w:ascii="Calibri" w:hAnsi="Calibri" w:cs="Calibri"/>
                <w:b w:val="0"/>
                <w:color w:val="1B365D"/>
                <w:sz w:val="17"/>
              </w:rPr>
              <w:t>4.4  Security verification testing</w:t>
            </w:r>
          </w:p>
        </w:tc>
        <w:tc>
          <w:tcPr>
            <w:tcW w:w="6048" w:type="dxa"/>
            <w:shd w:val="clear" w:color="auto" w:fill="FFFFFF"/>
            <w:tcMar>
              <w:top w:w="65" w:type="dxa"/>
              <w:left w:w="90" w:type="dxa"/>
              <w:bottom w:w="65" w:type="dxa"/>
              <w:right w:w="90" w:type="dxa"/>
            </w:tcMar>
          </w:tcPr>
          <w:p w14:paraId="6EB38FD9" w14:textId="77777777" w:rsidR="00E375BE" w:rsidRDefault="004313A7">
            <w:pPr>
              <w:spacing w:after="0" w:line="259" w:lineRule="auto"/>
            </w:pPr>
            <w:r>
              <w:rPr>
                <w:rFonts w:ascii="Calibri" w:hAnsi="Calibri" w:cs="Calibri"/>
                <w:b w:val="0"/>
                <w:color w:val="222222"/>
                <w:sz w:val="17"/>
              </w:rPr>
              <w:t>Execution of the security test suite against the deployed environment and issuance of the findings report.</w:t>
            </w:r>
          </w:p>
        </w:tc>
        <w:tc>
          <w:tcPr>
            <w:tcW w:w="1872" w:type="dxa"/>
            <w:shd w:val="clear" w:color="auto" w:fill="FFFFFF"/>
            <w:tcMar>
              <w:top w:w="65" w:type="dxa"/>
              <w:left w:w="90" w:type="dxa"/>
              <w:bottom w:w="65" w:type="dxa"/>
              <w:right w:w="90" w:type="dxa"/>
            </w:tcMar>
          </w:tcPr>
          <w:p w14:paraId="79A25F9B" w14:textId="77777777" w:rsidR="00E375BE" w:rsidRDefault="004313A7">
            <w:pPr>
              <w:spacing w:after="0" w:line="259" w:lineRule="auto"/>
              <w:jc w:val="right"/>
            </w:pPr>
            <w:r>
              <w:rPr>
                <w:rFonts w:ascii="Calibri" w:hAnsi="Calibri" w:cs="Calibri"/>
                <w:b w:val="0"/>
                <w:color w:val="222222"/>
                <w:sz w:val="17"/>
              </w:rPr>
              <w:t>₱500.00</w:t>
            </w:r>
          </w:p>
        </w:tc>
      </w:tr>
      <w:tr w:rsidR="00E375BE" w14:paraId="653AAD2D" w14:textId="77777777">
        <w:trPr>
          <w:jc w:val="center"/>
        </w:trPr>
        <w:tc>
          <w:tcPr>
            <w:tcW w:w="2160" w:type="dxa"/>
            <w:shd w:val="clear" w:color="auto" w:fill="FFFFFF"/>
            <w:tcMar>
              <w:top w:w="65" w:type="dxa"/>
              <w:left w:w="90" w:type="dxa"/>
              <w:bottom w:w="65" w:type="dxa"/>
              <w:right w:w="90" w:type="dxa"/>
            </w:tcMar>
          </w:tcPr>
          <w:p w14:paraId="1CC28D4D" w14:textId="77777777" w:rsidR="00E375BE" w:rsidRDefault="004313A7">
            <w:pPr>
              <w:spacing w:after="0" w:line="259" w:lineRule="auto"/>
            </w:pPr>
            <w:r>
              <w:rPr>
                <w:rFonts w:ascii="Calibri" w:hAnsi="Calibri" w:cs="Calibri"/>
                <w:b w:val="0"/>
                <w:color w:val="1B365D"/>
                <w:sz w:val="17"/>
              </w:rPr>
              <w:t>4.5  Pilot UAT support and defect correction</w:t>
            </w:r>
          </w:p>
        </w:tc>
        <w:tc>
          <w:tcPr>
            <w:tcW w:w="6048" w:type="dxa"/>
            <w:shd w:val="clear" w:color="auto" w:fill="FFFFFF"/>
            <w:tcMar>
              <w:top w:w="65" w:type="dxa"/>
              <w:left w:w="90" w:type="dxa"/>
              <w:bottom w:w="65" w:type="dxa"/>
              <w:right w:w="90" w:type="dxa"/>
            </w:tcMar>
          </w:tcPr>
          <w:p w14:paraId="6EB38FD9" w14:textId="77777777" w:rsidR="00E375BE" w:rsidRDefault="004313A7">
            <w:pPr>
              <w:spacing w:after="0" w:line="259" w:lineRule="auto"/>
            </w:pPr>
            <w:r>
              <w:rPr>
                <w:rFonts w:ascii="Calibri" w:hAnsi="Calibri" w:cs="Calibri"/>
                <w:b w:val="0"/>
                <w:color w:val="222222"/>
                <w:sz w:val="17"/>
              </w:rPr>
              <w:t>Support to institutional personnel during user acceptance testing in the pilot department, and correction of defects identified.</w:t>
            </w:r>
          </w:p>
        </w:tc>
        <w:tc>
          <w:tcPr>
            <w:tcW w:w="1872" w:type="dxa"/>
            <w:shd w:val="clear" w:color="auto" w:fill="FFFFFF"/>
            <w:tcMar>
              <w:top w:w="65" w:type="dxa"/>
              <w:left w:w="90" w:type="dxa"/>
              <w:bottom w:w="65" w:type="dxa"/>
              <w:right w:w="90" w:type="dxa"/>
            </w:tcMar>
          </w:tcPr>
          <w:p w14:paraId="79A25F9B" w14:textId="77777777" w:rsidR="00E375BE" w:rsidRDefault="004313A7">
            <w:pPr>
              <w:spacing w:after="0" w:line="259" w:lineRule="auto"/>
              <w:jc w:val="right"/>
            </w:pPr>
            <w:r>
              <w:rPr>
                <w:rFonts w:ascii="Calibri" w:hAnsi="Calibri" w:cs="Calibri"/>
                <w:b w:val="0"/>
                <w:color w:val="222222"/>
                <w:sz w:val="17"/>
              </w:rPr>
              <w:t>₱1,000.00</w:t>
            </w:r>
          </w:p>
        </w:tc>
      </w:tr>
      <w:tr w:rsidR="00E375BE" w14:paraId="653AAD2D" w14:textId="77777777">
        <w:trPr>
          <w:jc w:val="center"/>
        </w:trPr>
        <w:tc>
          <w:tcPr>
            <w:tcW w:w="2160" w:type="dxa"/>
            <w:shd w:val="clear" w:color="auto" w:fill="FFFFFF"/>
            <w:tcMar>
              <w:top w:w="65" w:type="dxa"/>
              <w:left w:w="90" w:type="dxa"/>
              <w:bottom w:w="65" w:type="dxa"/>
              <w:right w:w="90" w:type="dxa"/>
            </w:tcMar>
          </w:tcPr>
          <w:p w14:paraId="1CC28D4D" w14:textId="77777777" w:rsidR="00E375BE" w:rsidRDefault="004313A7">
            <w:pPr>
              <w:spacing w:after="0" w:line="259" w:lineRule="auto"/>
            </w:pPr>
            <w:r>
              <w:rPr>
                <w:rFonts w:ascii="Calibri" w:hAnsi="Calibri" w:cs="Calibri"/>
                <w:b w:val="0"/>
                <w:color w:val="1B365D"/>
                <w:sz w:val="17"/>
              </w:rPr>
              <w:t>4.6  Twelve-month maintenance and support allowance</w:t>
            </w:r>
          </w:p>
        </w:tc>
        <w:tc>
          <w:tcPr>
            <w:tcW w:w="6048" w:type="dxa"/>
            <w:shd w:val="clear" w:color="auto" w:fill="FFFFFF"/>
            <w:tcMar>
              <w:top w:w="65" w:type="dxa"/>
              <w:left w:w="90" w:type="dxa"/>
              <w:bottom w:w="65" w:type="dxa"/>
              <w:right w:w="90" w:type="dxa"/>
            </w:tcMar>
          </w:tcPr>
          <w:p w14:paraId="6EB38FD9" w14:textId="77777777" w:rsidR="00E375BE" w:rsidRDefault="004313A7">
            <w:pPr>
              <w:spacing w:after="0" w:line="259" w:lineRule="auto"/>
            </w:pPr>
            <w:r>
              <w:rPr>
                <w:rFonts w:ascii="Calibri" w:hAnsi="Calibri" w:cs="Calibri"/>
                <w:b w:val="0"/>
                <w:color w:val="222222"/>
                <w:sz w:val="17"/>
              </w:rPr>
              <w:t>Allocated allowance for system updates, SSL maintenance, database optimisation, and priority technical assistance for the institution's administrator across the support period.</w:t>
            </w:r>
          </w:p>
        </w:tc>
        <w:tc>
          <w:tcPr>
            <w:tcW w:w="1872" w:type="dxa"/>
            <w:shd w:val="clear" w:color="auto" w:fill="FFFFFF"/>
            <w:tcMar>
              <w:top w:w="65" w:type="dxa"/>
              <w:left w:w="90" w:type="dxa"/>
              <w:bottom w:w="65" w:type="dxa"/>
              <w:right w:w="90" w:type="dxa"/>
            </w:tcMar>
          </w:tcPr>
          <w:p w14:paraId="79A25F9B" w14:textId="77777777" w:rsidR="00E375BE" w:rsidRDefault="004313A7">
            <w:pPr>
              <w:spacing w:after="0" w:line="259" w:lineRule="auto"/>
              <w:jc w:val="right"/>
            </w:pPr>
            <w:r>
              <w:rPr>
                <w:rFonts w:ascii="Calibri" w:hAnsi="Calibri" w:cs="Calibri"/>
                <w:b w:val="0"/>
                <w:color w:val="222222"/>
                <w:sz w:val="17"/>
              </w:rPr>
              <w:t>₱1,500.00</w:t>
            </w:r>
          </w:p>
        </w:tc>
      </w:tr>
      <w:tr w:rsidR="00E375BE" w14:paraId="67BF2C09" w14:textId="77777777">
        <w:trPr>
          <w:jc w:val="center"/>
        </w:trPr>
        <w:tc>
          <w:tcPr>
            <w:tcW w:w="2160" w:type="dxa"/>
            <w:shd w:val="clear" w:color="auto" w:fill="F4F6F9"/>
            <w:tcMar>
              <w:top w:w="80" w:type="dxa"/>
              <w:left w:w="90" w:type="dxa"/>
              <w:bottom w:w="80" w:type="dxa"/>
              <w:right w:w="90" w:type="dxa"/>
            </w:tcMar>
          </w:tcPr>
          <w:p w14:paraId="00B0BC02" w14:textId="77777777" w:rsidR="00E375BE" w:rsidRDefault="004313A7">
            <w:pPr>
              <w:spacing w:after="0" w:line="259" w:lineRule="auto"/>
            </w:pPr>
            <w:r>
              <w:rPr>
                <w:rFonts w:ascii="Calibri" w:hAnsi="Calibri" w:cs="Calibri"/>
                <w:b/>
                <w:color w:val="1B365D"/>
                <w:sz w:val="18"/>
              </w:rPr>
              <w:t>TOTAL INVESTMENT</w:t>
            </w:r>
          </w:p>
        </w:tc>
        <w:tc>
          <w:tcPr>
            <w:tcW w:w="6048" w:type="dxa"/>
            <w:shd w:val="clear" w:color="auto" w:fill="F4F6F9"/>
            <w:tcMar>
              <w:top w:w="80" w:type="dxa"/>
              <w:left w:w="90" w:type="dxa"/>
              <w:bottom w:w="80" w:type="dxa"/>
              <w:right w:w="90" w:type="dxa"/>
            </w:tcMar>
          </w:tcPr>
          <w:p w14:paraId="17293713" w14:textId="77777777" w:rsidR="00E375BE" w:rsidRDefault="004313A7">
            <w:pPr>
              <w:spacing w:after="0" w:line="259" w:lineRule="auto"/>
            </w:pPr>
            <w:r>
              <w:rPr>
                <w:rFonts w:ascii="Calibri" w:hAnsi="Calibri" w:cs="Calibri"/>
                <w:b/>
                <w:color w:val="222222"/>
                <w:sz w:val="18"/>
              </w:rPr>
              <w:t>Complete, turnkey institutional deployment covering configuration, data migration, training, documentation, and the twelve-month support allowance. Zero recurring platform fees.</w:t>
            </w:r>
          </w:p>
        </w:tc>
        <w:tc>
          <w:tcPr>
            <w:tcW w:w="1872" w:type="dxa"/>
            <w:shd w:val="clear" w:color="auto" w:fill="F4F6F9"/>
            <w:tcMar>
              <w:top w:w="80" w:type="dxa"/>
              <w:left w:w="90" w:type="dxa"/>
              <w:bottom w:w="80" w:type="dxa"/>
              <w:right w:w="90" w:type="dxa"/>
            </w:tcMar>
          </w:tcPr>
          <w:p w14:paraId="23329D09" w14:textId="77777777" w:rsidR="00E375BE" w:rsidRDefault="004313A7">
            <w:pPr>
              <w:spacing w:after="0" w:line="259" w:lineRule="auto"/>
              <w:jc w:val="right"/>
            </w:pPr>
            <w:r>
              <w:rPr>
                <w:rFonts w:ascii="Calibri" w:hAnsi="Calibri" w:cs="Calibri"/>
                <w:b/>
                <w:color w:val="1B365D"/>
                <w:sz w:val="18"/>
              </w:rPr>
              <w:t>₱18,500.00</w:t>
            </w:r>
          </w:p>
        </w:tc>
      </w:tr>
    </w:tbl>
    <w:p w14:paraId="2C093B96" w14:textId="77777777" w:rsidR="00E375BE" w:rsidRDefault="004313A7">
      <w:r>
        <w:br w:type="page"/>
      </w:r>
    </w:p>
    <w:p w14:paraId="793FB145" w14:textId="77777777" w:rsidR="00E375BE" w:rsidRDefault="004313A7">
      <w:pPr>
        <w:keepNext/>
        <w:pBdr>
          <w:bottom w:val="single" w:sz="8" w:space="2" w:color="1B365D"/>
        </w:pBdr>
        <w:spacing w:before="180" w:after="80" w:line="269" w:lineRule="auto"/>
      </w:pPr>
      <w:r>
        <w:rPr>
          <w:rFonts w:ascii="Calibri" w:hAnsi="Calibri"/>
          <w:b/>
          <w:color w:val="1B365D"/>
          <w:sz w:val="24"/>
        </w:rPr>
        <w:t>6. Strategic Institutional Benefits &amp; Expected Impact</w:t>
      </w:r>
    </w:p>
    <w:p w14:paraId="1B80A4B9" w14:textId="77777777" w:rsidR="00E375BE" w:rsidRDefault="004313A7">
      <w:pPr>
        <w:spacing w:after="120" w:line="269" w:lineRule="auto"/>
      </w:pPr>
      <w:r>
        <w:rPr>
          <w:rFonts w:ascii="Calibri" w:hAnsi="Calibri"/>
          <w:color w:val="222222"/>
          <w:sz w:val="19"/>
        </w:rPr>
        <w:t>The adoption of the system provides measurable, high-impact improvements across administrative governance, financial accountability, and academic operations:</w:t>
      </w:r>
    </w:p>
    <w:p w14:paraId="313BFC0A" w14:textId="77777777" w:rsidR="00E375BE" w:rsidRDefault="004313A7">
      <w:pPr>
        <w:spacing w:after="80" w:line="264" w:lineRule="auto"/>
        <w:ind w:left="216"/>
      </w:pPr>
      <w:r>
        <w:rPr>
          <w:rFonts w:ascii="Calibri" w:hAnsi="Calibri"/>
          <w:b/>
          <w:color w:val="800000"/>
          <w:sz w:val="18"/>
        </w:rPr>
        <w:t xml:space="preserve">• Immediate Liquidation Readiness: </w:t>
      </w:r>
      <w:r>
        <w:rPr>
          <w:rFonts w:ascii="Calibri" w:hAnsi="Calibri"/>
          <w:color w:val="222222"/>
          <w:sz w:val="18"/>
        </w:rPr>
        <w:t>Generates official PDF and Excel liquidation reports directly from recorded transaction ledgers, reducing report assembly time by over 90% and eliminating missing receipt bottlenecks.</w:t>
      </w:r>
    </w:p>
    <w:p w14:paraId="6540D343" w14:textId="77777777" w:rsidR="00E375BE" w:rsidRDefault="004313A7">
      <w:pPr>
        <w:spacing w:after="80" w:line="264" w:lineRule="auto"/>
        <w:ind w:left="216"/>
      </w:pPr>
      <w:r>
        <w:rPr>
          <w:rFonts w:ascii="Calibri" w:hAnsi="Calibri"/>
          <w:b/>
          <w:color w:val="800000"/>
          <w:sz w:val="18"/>
        </w:rPr>
        <w:t xml:space="preserve">• Zero Manual Balance Discrepancies: </w:t>
      </w:r>
      <w:r>
        <w:rPr>
          <w:rFonts w:ascii="Calibri" w:hAnsi="Calibri"/>
          <w:color w:val="222222"/>
          <w:sz w:val="18"/>
        </w:rPr>
        <w:t>Real-time ledger balance validation prevents account overdrafts and maintains continuous transparency over organizational funds.</w:t>
      </w:r>
    </w:p>
    <w:p w14:paraId="02F5A40F" w14:textId="77777777" w:rsidR="00E375BE" w:rsidRDefault="004313A7">
      <w:pPr>
        <w:spacing w:after="80" w:line="264" w:lineRule="auto"/>
        <w:ind w:left="216"/>
      </w:pPr>
      <w:r>
        <w:rPr>
          <w:rFonts w:ascii="Calibri" w:hAnsi="Calibri"/>
          <w:b/>
          <w:color w:val="800000"/>
          <w:sz w:val="18"/>
        </w:rPr>
        <w:t xml:space="preserve">• Automated Load &amp; Prerequisite Evaluation: </w:t>
      </w:r>
      <w:r>
        <w:rPr>
          <w:rFonts w:ascii="Calibri" w:hAnsi="Calibri"/>
          <w:color w:val="222222"/>
          <w:sz w:val="18"/>
        </w:rPr>
        <w:t>Program Heads evaluate submitted loads against automated prerequisite rules, preventing invalid course sequence enrollments and manual transcript auditing.</w:t>
      </w:r>
    </w:p>
    <w:p w14:paraId="24A38A73" w14:textId="77777777" w:rsidR="00E375BE" w:rsidRDefault="004313A7">
      <w:pPr>
        <w:spacing w:after="80" w:line="264" w:lineRule="auto"/>
        <w:ind w:left="216"/>
      </w:pPr>
      <w:r>
        <w:rPr>
          <w:rFonts w:ascii="Calibri" w:hAnsi="Calibri"/>
          <w:b/>
          <w:color w:val="800000"/>
          <w:sz w:val="18"/>
        </w:rPr>
        <w:t xml:space="preserve">• Uncompromising Governance Audit Trail: </w:t>
      </w:r>
      <w:r>
        <w:rPr>
          <w:rFonts w:ascii="Calibri" w:hAnsi="Calibri"/>
          <w:color w:val="222222"/>
          <w:sz w:val="18"/>
        </w:rPr>
        <w:t>Append-only audit logs record every financial entry modification or administrative change, ensuring complete governance peace of mind and effortless internal audit preparation.</w:t>
      </w:r>
    </w:p>
    <w:p w14:paraId="31031DB2" w14:textId="77777777" w:rsidR="00E375BE" w:rsidRDefault="004313A7">
      <w:pPr>
        <w:spacing w:after="80" w:line="264" w:lineRule="auto"/>
        <w:ind w:left="216"/>
      </w:pPr>
      <w:r>
        <w:rPr>
          <w:rFonts w:ascii="Calibri" w:hAnsi="Calibri"/>
          <w:b/>
          <w:color w:val="800000"/>
          <w:sz w:val="18"/>
        </w:rPr>
        <w:t xml:space="preserve">• Omnichannel Student &amp; Officer Access: </w:t>
      </w:r>
      <w:r>
        <w:rPr>
          <w:rFonts w:ascii="Calibri" w:hAnsi="Calibri"/>
          <w:color w:val="222222"/>
          <w:sz w:val="18"/>
        </w:rPr>
        <w:t>Students and faculty access real-time financial ledgers and academic standing from web browsers, installed mobile PWA apps, or native desktop applications.</w:t>
      </w:r>
    </w:p>
    <w:p w14:paraId="5F96FDD2" w14:textId="77777777" w:rsidR="00E375BE" w:rsidRDefault="004313A7">
      <w:pPr>
        <w:keepNext/>
        <w:pBdr>
          <w:bottom w:val="single" w:sz="8" w:space="2" w:color="1B365D"/>
        </w:pBdr>
        <w:spacing w:before="180" w:after="80" w:line="269" w:lineRule="auto"/>
      </w:pPr>
      <w:r>
        <w:rPr>
          <w:rFonts w:ascii="Calibri" w:hAnsi="Calibri"/>
          <w:b/>
          <w:color w:val="1B365D"/>
          <w:sz w:val="24"/>
        </w:rPr>
        <w:t>7. Governance, Data Ownership &amp; Technical Support SLA</w:t>
      </w:r>
    </w:p>
    <w:p w14:paraId="3E94380E" w14:textId="77777777" w:rsidR="00E375BE" w:rsidRDefault="004313A7">
      <w:pPr>
        <w:spacing w:after="100" w:line="269" w:lineRule="auto"/>
      </w:pPr>
      <w:r>
        <w:rPr>
          <w:rFonts w:ascii="Calibri" w:hAnsi="Calibri"/>
          <w:color w:val="222222"/>
          <w:sz w:val="19"/>
        </w:rPr>
        <w:t>Upon successful deployment, the adopting institution assumes full, unencumbered ownership of all database records, user credentials, and financial documentation. System database backups are encrypted weekly and stored within institutional storage repositories. A formal Data Processing Agreement (DPA) will be executed alongside system handover to solidify data compliance.</w:t>
      </w:r>
    </w:p>
    <w:p w14:paraId="573757F6" w14:textId="77777777" w:rsidR="00E375BE" w:rsidRDefault="004313A7">
      <w:pPr>
        <w:spacing w:after="160" w:line="269" w:lineRule="auto"/>
      </w:pPr>
      <w:r>
        <w:rPr>
          <w:rFonts w:ascii="Calibri" w:hAnsi="Calibri"/>
          <w:color w:val="222222"/>
          <w:sz w:val="19"/>
        </w:rPr>
        <w:t>The turnkey package includes a 12-Month Maintenance &amp; Support SLA covering system updates, SSL maintenance, database optimizations, and priority technical assistance for System Administrators.</w:t>
      </w:r>
    </w:p>
    <w:p w14:paraId="01366145" w14:textId="77777777" w:rsidR="00E375BE" w:rsidRDefault="004313A7">
      <w:pPr>
        <w:keepNext/>
        <w:pBdr>
          <w:bottom w:val="single" w:sz="8" w:space="2" w:color="1B365D"/>
        </w:pBdr>
        <w:spacing w:before="180" w:after="80" w:line="269" w:lineRule="auto"/>
      </w:pPr>
      <w:r>
        <w:rPr>
          <w:rFonts w:ascii="Calibri" w:hAnsi="Calibri"/>
          <w:b/>
          <w:color w:val="1B365D"/>
          <w:sz w:val="24"/>
        </w:rPr>
        <w:t>8. Recommendation &amp; Authorization Sign-Off</w:t>
      </w:r>
    </w:p>
    <w:p w14:paraId="1E3E52EF" w14:textId="77777777" w:rsidR="00E375BE" w:rsidRDefault="004313A7">
      <w:pPr>
        <w:spacing w:after="360" w:line="269" w:lineRule="auto"/>
      </w:pPr>
      <w:r>
        <w:rPr>
          <w:rFonts w:ascii="Calibri" w:hAnsi="Calibri"/>
          <w:color w:val="222222"/>
          <w:sz w:val="19"/>
        </w:rPr>
        <w:t>We respectfully request formal authorization to proceed with Phase 1 (Discovery &amp; Institutional Configuration) under the proposed turnkey budget of ₱18,500.00 PHP.</w:t>
      </w:r>
    </w:p>
    <w:tbl>
      <w:tblPr>
        <w:tblW w:w="0" w:type="auto"/>
        <w:jc w:val="center"/>
        <w:tblBorders>
          <w:top w:val="single" w:sz="4" w:space="0" w:color="FFFFFF"/>
          <w:bottom w:val="single" w:sz="4" w:space="0" w:color="FFFFFF"/>
          <w:insideH w:val="single" w:sz="4" w:space="0" w:color="FFFFFF"/>
        </w:tblBorders>
        <w:tblLayout w:type="fixed"/>
        <w:tblLook w:val="04A0" w:firstRow="1" w:lastRow="0" w:firstColumn="1" w:lastColumn="0" w:noHBand="0" w:noVBand="1"/>
      </w:tblPr>
      <w:tblGrid>
        <w:gridCol w:w="3312"/>
        <w:gridCol w:w="3312"/>
        <w:gridCol w:w="3456"/>
      </w:tblGrid>
      <w:tr w:rsidR="00E375BE" w14:paraId="2D8F726B" w14:textId="77777777">
        <w:trPr>
          <w:jc w:val="center"/>
        </w:trPr>
        <w:tc>
          <w:tcPr>
            <w:tcW w:w="3312" w:type="dxa"/>
            <w:tcMar>
              <w:top w:w="40" w:type="dxa"/>
              <w:left w:w="40" w:type="dxa"/>
              <w:bottom w:w="40" w:type="dxa"/>
              <w:right w:w="40" w:type="dxa"/>
            </w:tcMar>
          </w:tcPr>
          <w:p w14:paraId="58005D83" w14:textId="77777777" w:rsidR="00E375BE" w:rsidRDefault="004313A7">
            <w:pPr>
              <w:spacing w:after="0" w:line="264" w:lineRule="auto"/>
            </w:pPr>
            <w:r>
              <w:rPr>
                <w:rFonts w:ascii="Calibri" w:hAnsi="Calibri"/>
                <w:b/>
                <w:color w:val="1B365D"/>
                <w:sz w:val="17"/>
              </w:rPr>
              <w:t>PREPARED BY:</w:t>
            </w:r>
            <w:r>
              <w:rPr>
                <w:rFonts w:ascii="Calibri" w:hAnsi="Calibri"/>
                <w:color w:val="222222"/>
                <w:sz w:val="17"/>
              </w:rPr>
              <w:br/>
            </w:r>
            <w:r>
              <w:rPr>
                <w:rFonts w:ascii="Calibri" w:hAnsi="Calibri"/>
                <w:color w:val="222222"/>
                <w:sz w:val="17"/>
              </w:rPr>
              <w:br/>
              <w:t>_______________________</w:t>
            </w:r>
            <w:r>
              <w:rPr>
                <w:rFonts w:ascii="Calibri" w:hAnsi="Calibri"/>
                <w:color w:val="222222"/>
                <w:sz w:val="17"/>
              </w:rPr>
              <w:br/>
              <w:t>Lead Systems Proponent</w:t>
            </w:r>
            <w:r>
              <w:rPr>
                <w:rFonts w:ascii="Calibri" w:hAnsi="Calibri"/>
                <w:color w:val="222222"/>
                <w:sz w:val="17"/>
              </w:rPr>
              <w:br/>
              <w:t>College of Engineering LGU</w:t>
            </w:r>
          </w:p>
        </w:tc>
        <w:tc>
          <w:tcPr>
            <w:tcW w:w="3312" w:type="dxa"/>
            <w:tcMar>
              <w:top w:w="40" w:type="dxa"/>
              <w:left w:w="40" w:type="dxa"/>
              <w:bottom w:w="40" w:type="dxa"/>
              <w:right w:w="40" w:type="dxa"/>
            </w:tcMar>
          </w:tcPr>
          <w:p w14:paraId="211042E5" w14:textId="77777777" w:rsidR="00E375BE" w:rsidRDefault="004313A7">
            <w:pPr>
              <w:spacing w:after="0" w:line="264" w:lineRule="auto"/>
            </w:pPr>
            <w:r>
              <w:rPr>
                <w:rFonts w:ascii="Calibri" w:hAnsi="Calibri"/>
                <w:b/>
                <w:color w:val="1B365D"/>
                <w:sz w:val="17"/>
              </w:rPr>
              <w:t>NOTED BY:</w:t>
            </w:r>
            <w:r>
              <w:rPr>
                <w:rFonts w:ascii="Calibri" w:hAnsi="Calibri"/>
                <w:color w:val="222222"/>
                <w:sz w:val="17"/>
              </w:rPr>
              <w:br/>
            </w:r>
            <w:r>
              <w:rPr>
                <w:rFonts w:ascii="Calibri" w:hAnsi="Calibri"/>
                <w:color w:val="222222"/>
                <w:sz w:val="17"/>
              </w:rPr>
              <w:br/>
            </w:r>
            <w:r>
              <w:rPr>
                <w:rFonts w:ascii="Calibri" w:hAnsi="Calibri"/>
                <w:color w:val="222222"/>
                <w:sz w:val="17"/>
              </w:rPr>
              <w:t>_______________________</w:t>
            </w:r>
            <w:r>
              <w:rPr>
                <w:rFonts w:ascii="Calibri" w:hAnsi="Calibri"/>
                <w:color w:val="222222"/>
                <w:sz w:val="17"/>
              </w:rPr>
              <w:br/>
              <w:t>Faculty Adviser / Dept. Head</w:t>
            </w:r>
            <w:r>
              <w:rPr>
                <w:rFonts w:ascii="Calibri" w:hAnsi="Calibri"/>
                <w:color w:val="222222"/>
                <w:sz w:val="17"/>
              </w:rPr>
              <w:br/>
              <w:t>College of Engineering</w:t>
            </w:r>
          </w:p>
        </w:tc>
        <w:tc>
          <w:tcPr>
            <w:tcW w:w="3456" w:type="dxa"/>
            <w:tcMar>
              <w:top w:w="40" w:type="dxa"/>
              <w:left w:w="40" w:type="dxa"/>
              <w:bottom w:w="40" w:type="dxa"/>
              <w:right w:w="40" w:type="dxa"/>
            </w:tcMar>
          </w:tcPr>
          <w:p w14:paraId="07E31453" w14:textId="77777777" w:rsidR="00E375BE" w:rsidRDefault="004313A7">
            <w:pPr>
              <w:spacing w:after="0" w:line="264" w:lineRule="auto"/>
            </w:pPr>
            <w:r>
              <w:rPr>
                <w:rFonts w:ascii="Calibri" w:hAnsi="Calibri"/>
                <w:b/>
                <w:color w:val="1B365D"/>
                <w:sz w:val="17"/>
              </w:rPr>
              <w:t>APPROVED BY:</w:t>
            </w:r>
            <w:r>
              <w:rPr>
                <w:rFonts w:ascii="Calibri" w:hAnsi="Calibri"/>
                <w:color w:val="222222"/>
                <w:sz w:val="17"/>
              </w:rPr>
              <w:br/>
            </w:r>
            <w:r>
              <w:rPr>
                <w:rFonts w:ascii="Calibri" w:hAnsi="Calibri"/>
                <w:color w:val="222222"/>
                <w:sz w:val="17"/>
              </w:rPr>
              <w:br/>
              <w:t>_______________________</w:t>
            </w:r>
            <w:r>
              <w:rPr>
                <w:rFonts w:ascii="Calibri" w:hAnsi="Calibri"/>
                <w:color w:val="222222"/>
                <w:sz w:val="17"/>
              </w:rPr>
              <w:br/>
              <w:t>School Head / President</w:t>
            </w:r>
            <w:r>
              <w:rPr>
                <w:rFonts w:ascii="Calibri" w:hAnsi="Calibri"/>
                <w:color w:val="222222"/>
                <w:sz w:val="17"/>
              </w:rPr>
              <w:br/>
              <w:t>Adopting Institution</w:t>
            </w:r>
          </w:p>
        </w:tc>
      </w:tr>
      <w:tr w:rsidR="00E375BE" w14:paraId="1C35B539" w14:textId="77777777">
        <w:trPr>
          <w:jc w:val="center"/>
        </w:trPr>
        <w:tc>
          <w:tcPr>
            <w:tcW w:w="3312" w:type="dxa"/>
            <w:tcMar>
              <w:top w:w="40" w:type="dxa"/>
              <w:left w:w="40" w:type="dxa"/>
              <w:bottom w:w="40" w:type="dxa"/>
              <w:right w:w="40" w:type="dxa"/>
            </w:tcMar>
          </w:tcPr>
          <w:p w14:paraId="73254A89" w14:textId="77777777" w:rsidR="00E375BE" w:rsidRDefault="004313A7">
            <w:pPr>
              <w:spacing w:after="0" w:line="264" w:lineRule="auto"/>
            </w:pPr>
            <w:r>
              <w:rPr>
                <w:rFonts w:ascii="Calibri" w:hAnsi="Calibri"/>
                <w:b/>
                <w:color w:val="1B365D"/>
                <w:sz w:val="17"/>
              </w:rPr>
              <w:t>Date: _______________</w:t>
            </w:r>
          </w:p>
        </w:tc>
        <w:tc>
          <w:tcPr>
            <w:tcW w:w="3312" w:type="dxa"/>
            <w:tcMar>
              <w:top w:w="40" w:type="dxa"/>
              <w:left w:w="40" w:type="dxa"/>
              <w:bottom w:w="40" w:type="dxa"/>
              <w:right w:w="40" w:type="dxa"/>
            </w:tcMar>
          </w:tcPr>
          <w:p w14:paraId="78A95789" w14:textId="77777777" w:rsidR="00E375BE" w:rsidRDefault="004313A7">
            <w:pPr>
              <w:spacing w:after="0" w:line="264" w:lineRule="auto"/>
            </w:pPr>
            <w:r>
              <w:rPr>
                <w:rFonts w:ascii="Calibri" w:hAnsi="Calibri"/>
                <w:b/>
                <w:color w:val="1B365D"/>
                <w:sz w:val="17"/>
              </w:rPr>
              <w:t>Date: _______________</w:t>
            </w:r>
          </w:p>
        </w:tc>
        <w:tc>
          <w:tcPr>
            <w:tcW w:w="3456" w:type="dxa"/>
            <w:tcMar>
              <w:top w:w="40" w:type="dxa"/>
              <w:left w:w="40" w:type="dxa"/>
              <w:bottom w:w="40" w:type="dxa"/>
              <w:right w:w="40" w:type="dxa"/>
            </w:tcMar>
          </w:tcPr>
          <w:p w14:paraId="13902705" w14:textId="77777777" w:rsidR="00E375BE" w:rsidRDefault="004313A7">
            <w:pPr>
              <w:spacing w:after="0" w:line="264" w:lineRule="auto"/>
            </w:pPr>
            <w:r>
              <w:rPr>
                <w:rFonts w:ascii="Calibri" w:hAnsi="Calibri"/>
                <w:b/>
                <w:color w:val="1B365D"/>
                <w:sz w:val="17"/>
              </w:rPr>
              <w:t>Date: _______________</w:t>
            </w:r>
          </w:p>
        </w:tc>
      </w:tr>
    </w:tbl>
    <w:p w14:paraId="53760D58" w14:textId="77777777" w:rsidR="004313A7" w:rsidRDefault="004313A7"/>
    <w:sectPr w:rsidR="004313A7" w:rsidSect="00034616">
      <w:footerReference w:type="default" r:id="rId9"/>
      <w:pgSz w:w="12240" w:h="15840"/>
      <w:pgMar w:top="792" w:right="1080" w:bottom="792"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B8CD63" w14:textId="77777777" w:rsidR="004313A7" w:rsidRDefault="004313A7">
      <w:pPr>
        <w:spacing w:after="0" w:line="240" w:lineRule="auto"/>
      </w:pPr>
      <w:r>
        <w:separator/>
      </w:r>
    </w:p>
  </w:endnote>
  <w:endnote w:type="continuationSeparator" w:id="0">
    <w:p w14:paraId="5818DC50" w14:textId="77777777" w:rsidR="004313A7" w:rsidRDefault="004313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B7A25" w14:textId="77777777" w:rsidR="00E375BE" w:rsidRDefault="004313A7">
    <w:pPr>
      <w:pStyle w:val="Footer"/>
      <w:jc w:val="right"/>
    </w:pPr>
    <w:r>
      <w:rPr>
        <w:rFonts w:ascii="Calibri" w:hAnsi="Calibri"/>
        <w:color w:val="5A646E"/>
        <w:sz w:val="17"/>
      </w:rPr>
      <w:t>Financial Transparency &amp; Student Academic Portal | 3-Page System Proposal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E6F12C" w14:textId="77777777" w:rsidR="004313A7" w:rsidRDefault="004313A7">
      <w:pPr>
        <w:spacing w:after="0" w:line="240" w:lineRule="auto"/>
      </w:pPr>
      <w:r>
        <w:separator/>
      </w:r>
    </w:p>
  </w:footnote>
  <w:footnote w:type="continuationSeparator" w:id="0">
    <w:p w14:paraId="4EB65F31" w14:textId="77777777" w:rsidR="004313A7" w:rsidRDefault="004313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7731594">
    <w:abstractNumId w:val="8"/>
  </w:num>
  <w:num w:numId="2" w16cid:durableId="88279040">
    <w:abstractNumId w:val="6"/>
  </w:num>
  <w:num w:numId="3" w16cid:durableId="1325476067">
    <w:abstractNumId w:val="5"/>
  </w:num>
  <w:num w:numId="4" w16cid:durableId="2009943006">
    <w:abstractNumId w:val="4"/>
  </w:num>
  <w:num w:numId="5" w16cid:durableId="1459450553">
    <w:abstractNumId w:val="7"/>
  </w:num>
  <w:num w:numId="6" w16cid:durableId="1891914996">
    <w:abstractNumId w:val="3"/>
  </w:num>
  <w:num w:numId="7" w16cid:durableId="987440543">
    <w:abstractNumId w:val="2"/>
  </w:num>
  <w:num w:numId="8" w16cid:durableId="1237323488">
    <w:abstractNumId w:val="1"/>
  </w:num>
  <w:num w:numId="9" w16cid:durableId="14767536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13A7"/>
    <w:rsid w:val="0078086C"/>
    <w:rsid w:val="00AA1D8D"/>
    <w:rsid w:val="00B47730"/>
    <w:rsid w:val="00CB0664"/>
    <w:rsid w:val="00D94F85"/>
    <w:rsid w:val="00E375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D87CAF2"/>
  <w14:defaultImageDpi w14:val="300"/>
  <w15:docId w15:val="{FC13AB7B-A9EA-4DBF-B54E-2816FECCD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1050</Words>
  <Characters>7398</Characters>
  <Application>Microsoft Office Word</Application>
  <DocSecurity>0</DocSecurity>
  <Lines>164</Lines>
  <Paragraphs>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Lex Matondo</cp:lastModifiedBy>
  <cp:revision>2</cp:revision>
  <cp:lastPrinted>2026-09-24T07:49:00Z</cp:lastPrinted>
  <dcterms:created xsi:type="dcterms:W3CDTF">2013-12-23T23:15:00Z</dcterms:created>
  <dcterms:modified xsi:type="dcterms:W3CDTF">2026-09-24T07:49:00Z</dcterms:modified>
  <cp:category/>
</cp:coreProperties>
</file>