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Plan d'Épargne d'Entreprise (PEE)</w:t>
      </w:r>
    </w:p>
    <w:p>
      <w:pPr>
        <w:pStyle w:val="Heading1"/>
      </w:pPr>
      <w:r>
        <w:rPr>
          <w:b w:val="0"/>
          <w:i w:val="0"/>
        </w:rPr>
        <w:t>Plan d'Épargne d'Entreprise (PEE)</w:t>
      </w:r>
    </w:p>
    <w:p>
      <w:r>
        <w:rPr>
          <w:b/>
          <w:i w:val="0"/>
        </w:rPr>
        <w:t>Accord signé le 22 février 2019 par l'ICO (Pr Mario Campone), la CGT-FO et la CFE-CGC.</w:t>
      </w:r>
      <w:r>
        <w:rPr>
          <w:b w:val="0"/>
          <w:i w:val="0"/>
        </w:rPr>
        <w:t xml:space="preserve"> </w:t>
      </w:r>
      <w:r>
        <w:rPr>
          <w:b w:val="0"/>
          <w:i/>
          <w:color w:val="5B6578"/>
        </w:rPr>
        <w:t>Accord à durée indéterminée.</w:t>
      </w:r>
    </w:p>
    <w:p>
      <w:r>
        <w:rPr>
          <w:color w:val="5B6578"/>
          <w:sz w:val="16"/>
        </w:rPr>
        <w:t>────────────────────────────────────────</w:t>
      </w:r>
    </w:p>
    <w:p>
      <w:pPr>
        <w:pStyle w:val="Heading2"/>
      </w:pPr>
      <w:r>
        <w:rPr>
          <w:b w:val="0"/>
          <w:i w:val="0"/>
        </w:rPr>
        <w:t xml:space="preserve">Qui est concerné </w:t>
      </w:r>
      <w:r>
        <w:rPr>
          <w:b w:val="0"/>
          <w:i/>
          <w:color w:val="5B6578"/>
        </w:rPr>
        <w:t>(Art. 1)</w:t>
      </w:r>
    </w:p>
    <w:p>
      <w:r>
        <w:rPr>
          <w:b w:val="0"/>
          <w:i w:val="0"/>
        </w:rPr>
        <w:t xml:space="preserve">Tous les salariés de l'ICO peuvent adhérer, après </w:t>
      </w:r>
      <w:r>
        <w:rPr>
          <w:b/>
          <w:i w:val="0"/>
        </w:rPr>
        <w:t>3 mois d'ancienneté</w:t>
      </w:r>
      <w:r>
        <w:rPr>
          <w:b w:val="0"/>
          <w:i w:val="0"/>
        </w:rPr>
        <w:t>.</w:t>
      </w:r>
    </w:p>
    <w:p>
      <w:r>
        <w:rPr>
          <w:b w:val="0"/>
          <w:i w:val="0"/>
        </w:rPr>
        <w:t>Les anciens salariés partis à la retraite ou en préretraite peuvent continuer à verser dans le Plan, à condition d'avoir fait au moins un versement avant leur départ.</w:t>
      </w:r>
    </w:p>
    <w:p>
      <w:r>
        <w:rPr>
          <w:color w:val="5B6578"/>
          <w:sz w:val="16"/>
        </w:rPr>
        <w:t>────────────────────────────────────────</w:t>
      </w:r>
    </w:p>
    <w:p>
      <w:pPr>
        <w:pStyle w:val="Heading2"/>
      </w:pPr>
      <w:r>
        <w:rPr>
          <w:b w:val="0"/>
          <w:i w:val="0"/>
        </w:rPr>
        <w:t xml:space="preserve">Comment alimenter le Plan </w:t>
      </w:r>
      <w:r>
        <w:rPr>
          <w:b w:val="0"/>
          <w:i/>
          <w:color w:val="5B6578"/>
        </w:rPr>
        <w:t>(Art. 2)</w:t>
      </w:r>
    </w:p>
    <w:p>
      <w:pPr>
        <w:pStyle w:val="ListBullet"/>
      </w:pPr>
      <w:r>
        <w:rPr>
          <w:b w:val="0"/>
          <w:i w:val="0"/>
        </w:rPr>
        <w:t xml:space="preserve">Tout ou partie de votre </w:t>
      </w:r>
      <w:r>
        <w:rPr>
          <w:b/>
          <w:i w:val="0"/>
        </w:rPr>
        <w:t>prime d'intéressement</w:t>
      </w:r>
      <w:r>
        <w:rPr>
          <w:b w:val="0"/>
          <w:i w:val="0"/>
        </w:rPr>
        <w:t xml:space="preserve"> (nette de CSG/CRDS)</w:t>
      </w:r>
    </w:p>
    <w:p>
      <w:pPr>
        <w:pStyle w:val="ListBullet"/>
      </w:pPr>
      <w:r>
        <w:rPr>
          <w:b w:val="0"/>
          <w:i w:val="0"/>
        </w:rPr>
        <w:t xml:space="preserve">Vos </w:t>
      </w:r>
      <w:r>
        <w:rPr>
          <w:b/>
          <w:i w:val="0"/>
        </w:rPr>
        <w:t>versements volontaires</w:t>
      </w:r>
      <w:r>
        <w:rPr>
          <w:b w:val="0"/>
          <w:i w:val="0"/>
        </w:rPr>
        <w:t xml:space="preserve">, sans périodicité imposée, plafonnés au </w:t>
      </w:r>
      <w:r>
        <w:rPr>
          <w:b/>
          <w:i w:val="0"/>
        </w:rPr>
        <w:t>quart de votre rémunération annuelle brute</w:t>
      </w:r>
    </w:p>
    <w:p>
      <w:pPr>
        <w:pStyle w:val="ListBullet"/>
      </w:pPr>
      <w:r>
        <w:rPr>
          <w:b w:val="0"/>
          <w:i w:val="0"/>
        </w:rPr>
        <w:t>Le transfert de sommes détenues dans un autre plan d'épargne salariale</w:t>
      </w:r>
    </w:p>
    <w:p>
      <w:r>
        <w:rPr>
          <w:color w:val="5B6578"/>
          <w:sz w:val="16"/>
        </w:rPr>
        <w:t>────────────────────────────────────────</w:t>
      </w:r>
    </w:p>
    <w:p>
      <w:pPr>
        <w:pStyle w:val="Heading2"/>
      </w:pPr>
      <w:r>
        <w:rPr>
          <w:b w:val="0"/>
          <w:i w:val="0"/>
        </w:rPr>
        <w:t xml:space="preserve">Où est placé votre argent </w:t>
      </w:r>
      <w:r>
        <w:rPr>
          <w:b w:val="0"/>
          <w:i/>
          <w:color w:val="5B6578"/>
        </w:rPr>
        <w:t>(Art. 4)</w:t>
      </w:r>
    </w:p>
    <w:p>
      <w:r>
        <w:rPr>
          <w:b w:val="0"/>
          <w:i w:val="0"/>
        </w:rPr>
        <w:t>Votre argent est investi, selon votre choix, dans l'un des 5 fonds (FCPE) « Impact ISR » gérés par Natixis Investment Managers : Monétaire, Rendement Solidaire, Oblig Euro, Équilibre, Performance.</w:t>
      </w:r>
    </w:p>
    <w:p>
      <w:r>
        <w:rPr>
          <w:b/>
          <w:i w:val="0"/>
        </w:rPr>
        <w:t>Si vous n'exprimez aucun choix</w:t>
      </w:r>
      <w:r>
        <w:rPr>
          <w:b w:val="0"/>
          <w:i w:val="0"/>
        </w:rPr>
        <w:t>, votre versement est automatiquement placé sur le fonds « Impact ISR Monétaire ».</w:t>
      </w:r>
    </w:p>
    <w:p>
      <w:r>
        <w:rPr>
          <w:b w:val="0"/>
          <w:i w:val="0"/>
        </w:rPr>
        <w:t xml:space="preserve">Vous pouvez changer de placement à tout moment </w:t>
      </w:r>
      <w:r>
        <w:rPr>
          <w:b w:val="0"/>
          <w:i/>
          <w:color w:val="5B6578"/>
        </w:rPr>
        <w:t>(Art. 5)</w:t>
      </w:r>
      <w:r>
        <w:rPr>
          <w:b w:val="0"/>
          <w:i w:val="0"/>
        </w:rPr>
        <w:t xml:space="preserve"> : un changement par an est pris en charge par l'entreprise, au-delà les frais sont à votre charge.</w:t>
      </w:r>
    </w:p>
    <w:p>
      <w:r>
        <w:rPr>
          <w:color w:val="5B6578"/>
          <w:sz w:val="16"/>
        </w:rPr>
        <w:t>────────────────────────────────────────</w:t>
      </w:r>
    </w:p>
    <w:p>
      <w:pPr>
        <w:pStyle w:val="Heading2"/>
      </w:pPr>
      <w:r>
        <w:rPr>
          <w:b w:val="0"/>
          <w:i w:val="0"/>
        </w:rPr>
        <w:t xml:space="preserve">Récupérer vos avoirs </w:t>
      </w:r>
      <w:r>
        <w:rPr>
          <w:b w:val="0"/>
          <w:i/>
          <w:color w:val="5B6578"/>
        </w:rPr>
        <w:t>(Art. 7)</w:t>
      </w:r>
    </w:p>
    <w:p>
      <w:r>
        <w:rPr>
          <w:b w:val="0"/>
          <w:i w:val="0"/>
        </w:rPr>
        <w:t xml:space="preserve">Vos avoirs sont bloqués </w:t>
      </w:r>
      <w:r>
        <w:rPr>
          <w:b/>
          <w:i w:val="0"/>
        </w:rPr>
        <w:t>5 ans</w:t>
      </w:r>
      <w:r>
        <w:rPr>
          <w:b w:val="0"/>
          <w:i w:val="0"/>
        </w:rPr>
        <w:t>, à compter du 1er jour du 6ᵉ mois de l'année où les parts ont été acquises.</w:t>
      </w:r>
    </w:p>
    <w:p>
      <w:r>
        <w:rPr>
          <w:b/>
          <w:i w:val="0"/>
        </w:rPr>
        <w:t>Déblocage anticipé possible</w:t>
      </w:r>
      <w:r>
        <w:rPr>
          <w:b w:val="0"/>
          <w:i w:val="0"/>
        </w:rPr>
        <w:t>, dans les cas prévus par la loi : mariage ou Pacs, naissance ou adoption (à partir du 3ᵉ enfant à charge), divorce, séparation ou dissolution de Pacs (avec résidence d'un enfant chez vous), invalidité, décès, rupture de votre contrat de travail, création ou reprise d'entreprise, achat ou agrandissement de votre résidence principale, surendettement.</w:t>
      </w:r>
    </w:p>
    <w:p>
      <w:r>
        <w:rPr>
          <w:b w:val="0"/>
          <w:i w:val="0"/>
        </w:rPr>
        <w:t>La demande doit être faite dans les 6 mois suivant l'événement, sauf en cas de rupture de contrat, décès, invalidité ou surendettement, où elle est possible à tout moment.</w:t>
      </w:r>
    </w:p>
    <w:p>
      <w:r>
        <w:rPr>
          <w:b/>
          <w:i w:val="0"/>
        </w:rPr>
        <w:t>Si vous quittez l'ICO</w:t>
      </w:r>
      <w:r>
        <w:rPr>
          <w:b w:val="0"/>
          <w:i w:val="0"/>
        </w:rPr>
        <w:t xml:space="preserve"> </w:t>
      </w:r>
      <w:r>
        <w:rPr>
          <w:b w:val="0"/>
          <w:i/>
          <w:color w:val="5B6578"/>
        </w:rPr>
        <w:t>(Art. 12)</w:t>
      </w:r>
      <w:r>
        <w:rPr>
          <w:b w:val="0"/>
          <w:i w:val="0"/>
        </w:rPr>
        <w:t xml:space="preserve"> : vous pouvez garder vos avoirs dans le Plan, ou demander leur transfert vers le plan d'épargne de votre nouvel employeur.</w:t>
      </w:r>
    </w:p>
    <w:p>
      <w:r>
        <w:rPr>
          <w:color w:val="5B6578"/>
          <w:sz w:val="16"/>
        </w:rPr>
        <w:t>────────────────────────────────────────</w:t>
      </w:r>
    </w:p>
    <w:p>
      <w:pPr>
        <w:pStyle w:val="Heading2"/>
      </w:pPr>
      <w:r>
        <w:rPr>
          <w:b w:val="0"/>
          <w:i w:val="0"/>
        </w:rPr>
        <w:t>Les frais à votre charge</w:t>
      </w:r>
    </w:p>
    <w:p>
      <w:pPr>
        <w:pStyle w:val="ListBullet"/>
      </w:pPr>
      <w:r>
        <w:rPr>
          <w:b w:val="0"/>
          <w:i w:val="0"/>
        </w:rPr>
        <w:t xml:space="preserve">Une </w:t>
      </w:r>
      <w:r>
        <w:rPr>
          <w:b/>
          <w:i w:val="0"/>
        </w:rPr>
        <w:t>commission de souscription</w:t>
      </w:r>
      <w:r>
        <w:rPr>
          <w:b w:val="0"/>
          <w:i w:val="0"/>
        </w:rPr>
        <w:t xml:space="preserve"> à chaque investissement </w:t>
      </w:r>
      <w:r>
        <w:rPr>
          <w:b w:val="0"/>
          <w:i/>
          <w:color w:val="5B6578"/>
        </w:rPr>
        <w:t>(Art. 4)</w:t>
      </w:r>
    </w:p>
    <w:p>
      <w:pPr>
        <w:pStyle w:val="ListBullet"/>
      </w:pPr>
      <w:r>
        <w:rPr>
          <w:b w:val="0"/>
          <w:i w:val="0"/>
        </w:rPr>
        <w:t xml:space="preserve">Les </w:t>
      </w:r>
      <w:r>
        <w:rPr>
          <w:b/>
          <w:i w:val="0"/>
        </w:rPr>
        <w:t>frais de tenue de compte sont pris en charge par l'ICO</w:t>
      </w:r>
      <w:r>
        <w:rPr>
          <w:b w:val="0"/>
          <w:i w:val="0"/>
        </w:rPr>
        <w:t xml:space="preserve"> tant que vous êtes salarié ; ils deviennent à votre charge après votre départ </w:t>
      </w:r>
      <w:r>
        <w:rPr>
          <w:b w:val="0"/>
          <w:i/>
          <w:color w:val="5B6578"/>
        </w:rPr>
        <w:t>(Art. 3 et 6)</w:t>
      </w:r>
    </w:p>
    <w:p>
      <w:r>
        <w:rPr>
          <w:color w:val="5B6578"/>
          <w:sz w:val="16"/>
        </w:rPr>
        <w:t>────────────────────────────────────────</w:t>
      </w:r>
    </w:p>
    <w:p>
      <w:r>
        <w:rPr>
          <w:b w:val="0"/>
          <w:i/>
          <w:color w:val="5B6578"/>
        </w:rPr>
        <w:t>Source : Plan d'Épargne d'Entreprise signé le 22 février 2019 par l'ICO, la CGT-FO et la CFE-CGC. Gestion : Natixis Interépargne (teneur de compte), CACEIS Bank France (dépositaire).</w:t>
      </w:r>
    </w:p>
    <w:p>
      <w:r>
        <w:rPr>
          <w:b w:val="0"/>
          <w:i/>
          <w:color w:val="5B6578"/>
        </w:rPr>
        <w:t xml:space="preserve">Les références entre parenthèses renvoient aux articles de l'accord.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