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203A"/>
        </w:rPr>
        <w:t>Dialogue social</w:t>
      </w:r>
    </w:p>
    <w:p>
      <w:pPr>
        <w:pStyle w:val="Heading1"/>
      </w:pPr>
      <w:r>
        <w:rPr>
          <w:b w:val="0"/>
          <w:i w:val="0"/>
        </w:rPr>
        <w:t>Accord sur le dialogue social (2026)</w:t>
      </w:r>
    </w:p>
    <w:p>
      <w:r>
        <w:rPr>
          <w:b/>
          <w:i w:val="0"/>
        </w:rPr>
        <w:t>Signé le 13 mars 2026 par l'ICO (Pr Mario CAMPONE), CGT-FO, CFE-CGC et Sud Santé-Sociaux.</w:t>
      </w:r>
      <w:r>
        <w:rPr>
          <w:b w:val="0"/>
          <w:i w:val="0"/>
        </w:rPr>
        <w:t xml:space="preserve"> </w:t>
      </w:r>
      <w:r>
        <w:rPr>
          <w:b w:val="0"/>
          <w:i/>
          <w:color w:val="5B6578"/>
        </w:rPr>
        <w:t>Cet accord entre en vigueur le 1er jour suivant la proclamation des résultats des élections professionnelles de fin 2026, pour la durée de la mandature.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>Ce que fixe cet accord</w:t>
      </w:r>
    </w:p>
    <w:p>
      <w:r>
        <w:rPr>
          <w:b w:val="0"/>
          <w:i w:val="0"/>
        </w:rPr>
        <w:t>Il prépare les prochaines élections et définit précisément comment fonctionne le dialogue social à l'ICO : organisation des instances, règles de réunion, moyens des élus, participation aux frais de PV. Il remplace les dispositions de l'accord de dialogue social 2023.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>Les instances et leur fonctionnement</w:t>
      </w:r>
    </w:p>
    <w:p>
      <w:pPr>
        <w:pStyle w:val="Heading3"/>
      </w:pPr>
      <w:r>
        <w:rPr>
          <w:b w:val="0"/>
          <w:i w:val="0"/>
        </w:rPr>
        <w:t xml:space="preserve">CSE de site (Angers et St Herblain) </w:t>
      </w:r>
      <w:r>
        <w:rPr>
          <w:b w:val="0"/>
          <w:i/>
          <w:color w:val="5B6578"/>
        </w:rPr>
        <w:t>(Art. 1.1)</w:t>
      </w:r>
    </w:p>
    <w:p>
      <w:pPr>
        <w:pStyle w:val="ListBullet"/>
      </w:pPr>
      <w:r>
        <w:rPr>
          <w:b/>
          <w:i w:val="0"/>
        </w:rPr>
        <w:t>11 réunions ordinaires par an</w:t>
      </w:r>
      <w:r>
        <w:rPr>
          <w:b w:val="0"/>
          <w:i w:val="0"/>
        </w:rPr>
        <w:t xml:space="preserve"> par CSE de site</w:t>
      </w:r>
    </w:p>
    <w:p>
      <w:pPr>
        <w:pStyle w:val="ListBullet"/>
      </w:pPr>
      <w:r>
        <w:rPr>
          <w:b w:val="0"/>
          <w:i w:val="0"/>
        </w:rPr>
        <w:t xml:space="preserve">Ordre du jour arrêté conjointement par le secrétaire et la direction, </w:t>
      </w:r>
      <w:r>
        <w:rPr>
          <w:b/>
          <w:i w:val="0"/>
        </w:rPr>
        <w:t>7 jours ouvrés</w:t>
      </w:r>
      <w:r>
        <w:rPr>
          <w:b w:val="0"/>
          <w:i w:val="0"/>
        </w:rPr>
        <w:t xml:space="preserve"> à l'avance ; convocation envoyée </w:t>
      </w:r>
      <w:r>
        <w:rPr>
          <w:b/>
          <w:i w:val="0"/>
        </w:rPr>
        <w:t>5 jours ouvrés</w:t>
      </w:r>
      <w:r>
        <w:rPr>
          <w:b w:val="0"/>
          <w:i w:val="0"/>
        </w:rPr>
        <w:t xml:space="preserve"> avant</w:t>
      </w:r>
    </w:p>
    <w:p>
      <w:pPr>
        <w:pStyle w:val="ListBullet"/>
      </w:pPr>
      <w:r>
        <w:rPr>
          <w:b w:val="0"/>
          <w:i w:val="0"/>
        </w:rPr>
        <w:t>Réunions en présentiel sur le site de l'instance ; la visioconférence est une modalité valable</w:t>
      </w:r>
    </w:p>
    <w:p>
      <w:pPr>
        <w:pStyle w:val="ListBullet"/>
      </w:pPr>
      <w:r>
        <w:rPr>
          <w:b w:val="0"/>
          <w:i w:val="0"/>
        </w:rPr>
        <w:t>Les suppléants peuvent assister sans voter, à condition de ne pas désorganiser les services</w:t>
      </w:r>
    </w:p>
    <w:p>
      <w:pPr>
        <w:pStyle w:val="ListBullet"/>
      </w:pPr>
      <w:r>
        <w:rPr>
          <w:b w:val="0"/>
          <w:i w:val="0"/>
        </w:rPr>
        <w:t xml:space="preserve">PV soumis aux membres sous </w:t>
      </w:r>
      <w:r>
        <w:rPr>
          <w:b/>
          <w:i w:val="0"/>
        </w:rPr>
        <w:t>2 mois</w:t>
      </w:r>
      <w:r>
        <w:rPr>
          <w:b w:val="0"/>
          <w:i w:val="0"/>
        </w:rPr>
        <w:t xml:space="preserve"> ; </w:t>
      </w:r>
      <w:r>
        <w:rPr>
          <w:b/>
          <w:i w:val="0"/>
        </w:rPr>
        <w:t>15 jours</w:t>
      </w:r>
      <w:r>
        <w:rPr>
          <w:b w:val="0"/>
          <w:i w:val="0"/>
        </w:rPr>
        <w:t xml:space="preserve"> pour demander des corrections ; approuvé en réunion suivante</w:t>
      </w:r>
    </w:p>
    <w:p>
      <w:pPr>
        <w:pStyle w:val="ListBullet"/>
      </w:pPr>
      <w:r>
        <w:rPr>
          <w:b w:val="0"/>
          <w:i w:val="0"/>
        </w:rPr>
        <w:t xml:space="preserve">Avis rendus au plus tard </w:t>
      </w:r>
      <w:r>
        <w:rPr>
          <w:b/>
          <w:i w:val="0"/>
        </w:rPr>
        <w:t>1 mois</w:t>
      </w:r>
      <w:r>
        <w:rPr>
          <w:b w:val="0"/>
          <w:i w:val="0"/>
        </w:rPr>
        <w:t xml:space="preserve"> après information des membres ; à défaut, avis réputé négatif</w:t>
      </w:r>
    </w:p>
    <w:p>
      <w:pPr>
        <w:pStyle w:val="ListBullet"/>
      </w:pPr>
      <w:r>
        <w:rPr>
          <w:b/>
          <w:i w:val="0"/>
        </w:rPr>
        <w:t>Budget de fonctionnement : 0,2% de la masse salariale brute du site</w:t>
      </w:r>
    </w:p>
    <w:p>
      <w:pPr>
        <w:pStyle w:val="ListBullet"/>
      </w:pPr>
      <w:r>
        <w:rPr>
          <w:b/>
          <w:i w:val="0"/>
        </w:rPr>
        <w:t>Budget activités sociales et culturelles (BASC) : 1,15% de la masse salariale brute du site</w:t>
      </w:r>
    </w:p>
    <w:p>
      <w:pPr>
        <w:pStyle w:val="ListBullet"/>
      </w:pPr>
      <w:r>
        <w:rPr>
          <w:b w:val="0"/>
          <w:i w:val="0"/>
        </w:rPr>
        <w:t>Jusqu'à 10% de l'excédent du budget de fonctionnement est transférable vers le BASC</w:t>
      </w:r>
    </w:p>
    <w:p>
      <w:pPr>
        <w:pStyle w:val="Heading3"/>
      </w:pPr>
      <w:r>
        <w:rPr>
          <w:b w:val="0"/>
          <w:i w:val="0"/>
        </w:rPr>
        <w:t xml:space="preserve">CSE Central </w:t>
      </w:r>
      <w:r>
        <w:rPr>
          <w:b w:val="0"/>
          <w:i/>
          <w:color w:val="5B6578"/>
        </w:rPr>
        <w:t>(Art. 1.1)</w:t>
      </w:r>
    </w:p>
    <w:p>
      <w:pPr>
        <w:pStyle w:val="ListBullet"/>
      </w:pPr>
      <w:r>
        <w:rPr>
          <w:b/>
          <w:i w:val="0"/>
        </w:rPr>
        <w:t>6 réunions ordinaires par an</w:t>
      </w:r>
      <w:r>
        <w:rPr>
          <w:b w:val="0"/>
          <w:i w:val="0"/>
        </w:rPr>
        <w:t>, en alternance Angers / St Herblain</w:t>
      </w:r>
    </w:p>
    <w:p>
      <w:pPr>
        <w:pStyle w:val="ListBullet"/>
      </w:pPr>
      <w:r>
        <w:rPr>
          <w:b w:val="0"/>
          <w:i w:val="0"/>
        </w:rPr>
        <w:t>Pas de budget propre — les budgets sont portés par les CSE de site</w:t>
      </w:r>
    </w:p>
    <w:p>
      <w:pPr>
        <w:pStyle w:val="ListBullet"/>
      </w:pPr>
      <w:r>
        <w:rPr>
          <w:b w:val="0"/>
          <w:i w:val="0"/>
        </w:rPr>
        <w:t>Les consultations obligatoires (orientations stratégiques, situation économique, politique sociale, formation) se tiennent au niveau du CSE Central</w:t>
      </w:r>
    </w:p>
    <w:p>
      <w:pPr>
        <w:pStyle w:val="Heading3"/>
      </w:pPr>
      <w:r>
        <w:rPr>
          <w:b w:val="0"/>
          <w:i w:val="0"/>
        </w:rPr>
        <w:t xml:space="preserve">CSSCT de site et CSSCT Centrale </w:t>
      </w:r>
      <w:r>
        <w:rPr>
          <w:b w:val="0"/>
          <w:i/>
          <w:color w:val="5B6578"/>
        </w:rPr>
        <w:t>(Art. 1.2)</w:t>
      </w:r>
    </w:p>
    <w:p>
      <w:pPr>
        <w:pStyle w:val="ListBullet"/>
      </w:pPr>
      <w:r>
        <w:rPr>
          <w:b/>
          <w:i w:val="0"/>
        </w:rPr>
        <w:t>6 réunions ordinaires par an</w:t>
      </w:r>
      <w:r>
        <w:rPr>
          <w:b w:val="0"/>
          <w:i w:val="0"/>
        </w:rPr>
        <w:t xml:space="preserve"> par CSSCT (Angers, St Herblain, Centrale)</w:t>
      </w:r>
    </w:p>
    <w:p>
      <w:pPr>
        <w:pStyle w:val="ListBullet"/>
      </w:pPr>
      <w:r>
        <w:rPr>
          <w:b w:val="0"/>
          <w:i w:val="0"/>
        </w:rPr>
        <w:t>Composition : membres élus du CSE correspondant (titulaires ou suppléants), pour la durée de la mandature</w:t>
      </w:r>
    </w:p>
    <w:p>
      <w:pPr>
        <w:pStyle w:val="ListBullet"/>
      </w:pPr>
      <w:r>
        <w:rPr>
          <w:b w:val="0"/>
          <w:i w:val="0"/>
        </w:rPr>
        <w:t>La CSSCT Centrale est composée des titulaires de chaque CSSCT de site</w:t>
      </w:r>
    </w:p>
    <w:p>
      <w:pPr>
        <w:pStyle w:val="ListBullet"/>
      </w:pPr>
      <w:r>
        <w:rPr>
          <w:b w:val="0"/>
          <w:i w:val="0"/>
        </w:rPr>
        <w:t>Même règles de convocation et de PV que les CSE</w:t>
      </w:r>
    </w:p>
    <w:p>
      <w:pPr>
        <w:pStyle w:val="Heading3"/>
      </w:pPr>
      <w:r>
        <w:rPr>
          <w:b w:val="0"/>
          <w:i w:val="0"/>
        </w:rPr>
        <w:t xml:space="preserve">Commission Formation et Égalité F/H (CFEFH) </w:t>
      </w:r>
      <w:r>
        <w:rPr>
          <w:b w:val="0"/>
          <w:i/>
          <w:color w:val="5B6578"/>
        </w:rPr>
        <w:t>(Art. 1.3)</w:t>
      </w:r>
    </w:p>
    <w:p>
      <w:pPr>
        <w:pStyle w:val="ListBullet"/>
      </w:pPr>
      <w:r>
        <w:rPr>
          <w:b/>
          <w:i w:val="0"/>
        </w:rPr>
        <w:t>5 réunions ordinaires par an</w:t>
      </w:r>
      <w:r>
        <w:rPr>
          <w:b w:val="0"/>
          <w:i w:val="0"/>
        </w:rPr>
        <w:t>, en alternance sur les deux sites</w:t>
      </w:r>
    </w:p>
    <w:p>
      <w:pPr>
        <w:pStyle w:val="ListBullet"/>
      </w:pPr>
      <w:r>
        <w:rPr>
          <w:b w:val="0"/>
          <w:i w:val="0"/>
        </w:rPr>
        <w:t>Membres issus du CSE Central (titulaires ou suppléants)</w:t>
      </w:r>
    </w:p>
    <w:p>
      <w:pPr>
        <w:pStyle w:val="ListBullet"/>
      </w:pPr>
      <w:r>
        <w:rPr>
          <w:b w:val="0"/>
          <w:i w:val="0"/>
        </w:rPr>
        <w:t>Même règles de convocation, PV et suppléance que les autres instances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 xml:space="preserve">Les moyens des représentants du personnel </w:t>
      </w:r>
      <w:r>
        <w:rPr>
          <w:b w:val="0"/>
          <w:i/>
          <w:color w:val="5B6578"/>
        </w:rPr>
        <w:t>(Art. 4)</w:t>
      </w:r>
    </w:p>
    <w:p>
      <w:pPr>
        <w:pStyle w:val="Heading3"/>
      </w:pPr>
      <w:r>
        <w:rPr>
          <w:b w:val="0"/>
          <w:i w:val="0"/>
        </w:rPr>
        <w:t>Informatique</w:t>
      </w:r>
    </w:p>
    <w:p>
      <w:pPr>
        <w:pStyle w:val="ListBullet"/>
      </w:pPr>
      <w:r>
        <w:rPr>
          <w:b/>
          <w:i w:val="0"/>
        </w:rPr>
        <w:t>15 PC portables nominatifs</w:t>
      </w:r>
      <w:r>
        <w:rPr>
          <w:b w:val="0"/>
          <w:i w:val="0"/>
        </w:rPr>
        <w:t xml:space="preserve"> mis à disposition pour les élus des deux sites : 7 à Angers, 8 à St Herblain</w:t>
      </w:r>
    </w:p>
    <w:p>
      <w:pPr>
        <w:pStyle w:val="Heading3"/>
      </w:pPr>
      <w:r>
        <w:rPr>
          <w:b w:val="0"/>
          <w:i w:val="0"/>
        </w:rPr>
        <w:t>Heures de délégation</w:t>
      </w:r>
    </w:p>
    <w:p>
      <w:pPr>
        <w:pStyle w:val="ListBullet"/>
      </w:pPr>
      <w:r>
        <w:rPr>
          <w:b/>
          <w:i w:val="0"/>
        </w:rPr>
        <w:t>Élus titulaires CSE</w:t>
      </w:r>
      <w:r>
        <w:rPr>
          <w:b w:val="0"/>
          <w:i w:val="0"/>
        </w:rPr>
        <w:t xml:space="preserve"> : volume calculé selon l'effectif fixé dans le PAPE (protocole d'accord préélectoral) et la grille légale ; les suppléants n'ont pas d'heures de délégation au titre du CSE</w:t>
      </w:r>
    </w:p>
    <w:p>
      <w:pPr>
        <w:pStyle w:val="ListBullet"/>
      </w:pPr>
      <w:r>
        <w:rPr>
          <w:b/>
          <w:i w:val="0"/>
        </w:rPr>
        <w:t>Élus titulaires CSSCT ou CFEFH suppléants au CSE</w:t>
      </w:r>
      <w:r>
        <w:rPr>
          <w:b w:val="0"/>
          <w:i w:val="0"/>
        </w:rPr>
        <w:t xml:space="preserve"> : </w:t>
      </w:r>
      <w:r>
        <w:rPr>
          <w:b/>
          <w:i w:val="0"/>
        </w:rPr>
        <w:t>15 heures/mois</w:t>
      </w:r>
    </w:p>
    <w:p>
      <w:pPr>
        <w:pStyle w:val="ListBullet"/>
      </w:pPr>
      <w:r>
        <w:rPr>
          <w:b/>
          <w:i w:val="0"/>
        </w:rPr>
        <w:t>Délégués syndicaux de site</w:t>
      </w:r>
      <w:r>
        <w:rPr>
          <w:b w:val="0"/>
          <w:i w:val="0"/>
        </w:rPr>
        <w:t xml:space="preserve"> : </w:t>
      </w:r>
      <w:r>
        <w:rPr>
          <w:b/>
          <w:i w:val="0"/>
        </w:rPr>
        <w:t>24 heures/mois</w:t>
      </w:r>
    </w:p>
    <w:p>
      <w:pPr>
        <w:pStyle w:val="ListBullet"/>
      </w:pPr>
      <w:r>
        <w:rPr>
          <w:b/>
          <w:i w:val="0"/>
        </w:rPr>
        <w:t>Délégués syndicaux centraux</w:t>
      </w:r>
      <w:r>
        <w:rPr>
          <w:b w:val="0"/>
          <w:i w:val="0"/>
        </w:rPr>
        <w:t xml:space="preserve"> : </w:t>
      </w:r>
      <w:r>
        <w:rPr>
          <w:b/>
          <w:i w:val="0"/>
        </w:rPr>
        <w:t>18 heures supplémentaires par an</w:t>
      </w:r>
      <w:r>
        <w:rPr>
          <w:b w:val="0"/>
          <w:i w:val="0"/>
        </w:rPr>
        <w:t xml:space="preserve"> au titre de la NAO, prenables seuls ou partagés avec la délégation</w:t>
      </w:r>
    </w:p>
    <w:p>
      <w:pPr>
        <w:pStyle w:val="ListBullet"/>
      </w:pPr>
      <w:r>
        <w:rPr>
          <w:b/>
          <w:i w:val="0"/>
        </w:rPr>
        <w:t>Mutualisation</w:t>
      </w:r>
      <w:r>
        <w:rPr>
          <w:b w:val="0"/>
          <w:i w:val="0"/>
        </w:rPr>
        <w:t xml:space="preserve"> : les heures peuvent être partagées entre élus de la même liste syndicale, et reportées d'un mois sur l'autre sur toute l'année civile</w:t>
      </w:r>
    </w:p>
    <w:p>
      <w:pPr>
        <w:pStyle w:val="ListBullet"/>
      </w:pPr>
      <w:r>
        <w:rPr>
          <w:b w:val="0"/>
          <w:i w:val="0"/>
        </w:rPr>
        <w:t>Aucune justification préalable requise ; simple information écrite à la hiérarchie en cas de sortie des locaux</w:t>
      </w:r>
    </w:p>
    <w:p>
      <w:pPr>
        <w:pStyle w:val="Heading3"/>
      </w:pPr>
      <w:r>
        <w:rPr>
          <w:b w:val="0"/>
          <w:i w:val="0"/>
        </w:rPr>
        <w:t xml:space="preserve">Prise en charge des PV externalisés </w:t>
      </w:r>
      <w:r>
        <w:rPr>
          <w:b w:val="0"/>
          <w:i/>
          <w:color w:val="5B6578"/>
        </w:rPr>
        <w:t>(Art. 4.3)</w:t>
      </w:r>
    </w:p>
    <w:p>
      <w:pPr>
        <w:pStyle w:val="ListBullet"/>
      </w:pPr>
      <w:r>
        <w:rPr>
          <w:b w:val="0"/>
          <w:i w:val="0"/>
        </w:rPr>
        <w:t xml:space="preserve">L'ICO verse </w:t>
      </w:r>
      <w:r>
        <w:rPr>
          <w:b/>
          <w:i w:val="0"/>
        </w:rPr>
        <w:t>27 500 €/an</w:t>
      </w:r>
      <w:r>
        <w:rPr>
          <w:b w:val="0"/>
          <w:i w:val="0"/>
        </w:rPr>
        <w:t xml:space="preserve"> aux budgets de fonctionnement des CSE locaux (13 750 € par site) pour contribuer aux frais d'externalisation de la rédaction des PV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 xml:space="preserve">La négociation ordinaire </w:t>
      </w:r>
      <w:r>
        <w:rPr>
          <w:b w:val="0"/>
          <w:i/>
          <w:color w:val="5B6578"/>
        </w:rPr>
        <w:t>(Art. 2)</w:t>
      </w:r>
    </w:p>
    <w:p>
      <w:pPr>
        <w:pStyle w:val="ListBullet"/>
      </w:pPr>
      <w:r>
        <w:rPr>
          <w:b w:val="0"/>
          <w:i w:val="0"/>
        </w:rPr>
        <w:t xml:space="preserve">Délégation syndicale : le DS + </w:t>
      </w:r>
      <w:r>
        <w:rPr>
          <w:b/>
          <w:i w:val="0"/>
        </w:rPr>
        <w:t>2 personnes de son choix</w:t>
      </w:r>
      <w:r>
        <w:rPr>
          <w:b w:val="0"/>
          <w:i w:val="0"/>
        </w:rPr>
        <w:t xml:space="preserve"> maximum</w:t>
      </w:r>
    </w:p>
    <w:p>
      <w:pPr>
        <w:pStyle w:val="ListBullet"/>
      </w:pPr>
      <w:r>
        <w:rPr>
          <w:b w:val="0"/>
          <w:i w:val="0"/>
        </w:rPr>
        <w:t>Compte rendu écrit rédigé par la direction après chaque réunion</w:t>
      </w:r>
    </w:p>
    <w:p>
      <w:pPr>
        <w:pStyle w:val="ListBullet"/>
      </w:pPr>
      <w:r>
        <w:rPr>
          <w:b w:val="0"/>
          <w:i w:val="0"/>
        </w:rPr>
        <w:t xml:space="preserve">Accord mis à la signature : </w:t>
      </w:r>
      <w:r>
        <w:rPr>
          <w:b/>
          <w:i w:val="0"/>
        </w:rPr>
        <w:t>7 jours sur un site puis 7 jours sur l'autre</w:t>
      </w:r>
    </w:p>
    <w:p>
      <w:pPr>
        <w:pStyle w:val="ListBullet"/>
      </w:pPr>
      <w:r>
        <w:rPr>
          <w:b w:val="0"/>
          <w:i w:val="0"/>
        </w:rPr>
        <w:t>Après signature : délai d'opposition, puis dépôt légal</w:t>
      </w:r>
    </w:p>
    <w:p>
      <w:pPr>
        <w:pStyle w:val="Heading2"/>
      </w:pPr>
      <w:r>
        <w:rPr>
          <w:b w:val="0"/>
          <w:i w:val="0"/>
        </w:rPr>
        <w:t xml:space="preserve">La NAO </w:t>
      </w:r>
      <w:r>
        <w:rPr>
          <w:b w:val="0"/>
          <w:i/>
          <w:color w:val="5B6578"/>
        </w:rPr>
        <w:t>(Art. 3)</w:t>
      </w:r>
    </w:p>
    <w:p>
      <w:pPr>
        <w:pStyle w:val="ListBullet"/>
      </w:pPr>
      <w:r>
        <w:rPr>
          <w:b w:val="0"/>
          <w:i w:val="0"/>
        </w:rPr>
        <w:t>Même composition que la négociation ordinaire (DS central + 2 personnes)</w:t>
      </w:r>
    </w:p>
    <w:p>
      <w:pPr>
        <w:pStyle w:val="ListBullet"/>
      </w:pPr>
      <w:r>
        <w:rPr>
          <w:b w:val="0"/>
          <w:i w:val="0"/>
        </w:rPr>
        <w:t>Revendications syndicales formalisées par écrit au plus tard lors de la 1ère réunion</w:t>
      </w:r>
    </w:p>
    <w:p>
      <w:pPr>
        <w:pStyle w:val="ListBullet"/>
      </w:pPr>
      <w:r>
        <w:rPr>
          <w:b w:val="0"/>
          <w:i w:val="0"/>
        </w:rPr>
        <w:t>PV final de NAO incluant les revendications de chaque OS et la position de la direction ; mis à la signature à l'automne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r>
        <w:rPr>
          <w:b w:val="0"/>
          <w:i/>
          <w:color w:val="5B6578"/>
        </w:rPr>
        <w:t>Source : Accord sur le dialogue social (13/03/2026), signé CGT-FO, CFE-CGC, Sud Santé-Sociaux.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