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Prime USC</w:t>
      </w:r>
    </w:p>
    <w:p>
      <w:pPr>
        <w:pStyle w:val="Heading1"/>
      </w:pPr>
      <w:r>
        <w:rPr>
          <w:b w:val="0"/>
          <w:i w:val="0"/>
        </w:rPr>
        <w:t>Prime USC (exercice en soins critiques)</w:t>
      </w:r>
    </w:p>
    <w:p>
      <w:r>
        <w:rPr>
          <w:b/>
          <w:i w:val="0"/>
        </w:rPr>
        <w:t>Qui est concerné</w:t>
      </w:r>
      <w:r>
        <w:rPr>
          <w:b w:val="0"/>
          <w:i w:val="0"/>
        </w:rPr>
        <w:t xml:space="preserve"> </w:t>
      </w:r>
      <w:r>
        <w:rPr>
          <w:b w:val="0"/>
          <w:i/>
          <w:color w:val="5B6578"/>
        </w:rPr>
        <w:t>(Art. 1)</w:t>
      </w:r>
    </w:p>
    <w:p>
      <w:r>
        <w:rPr>
          <w:b w:val="0"/>
          <w:i w:val="0"/>
        </w:rPr>
        <w:t>Vous, si vous êtes IDE ou Aide-Soignant(e) affecté(e), en tout ou partie de votre temps, à l'Unité de Soins Continus (USC) de votre site. Si vous êtes un autre personnel paramédical (psychologue, brancardier, kiné...) consacrant moins de 50 % de votre temps à l'USC, vous n'êtes pas éligible.</w:t>
      </w:r>
    </w:p>
    <w:p>
      <w:r>
        <w:rPr>
          <w:b/>
          <w:i w:val="0"/>
        </w:rPr>
        <w:t>Montant de base</w:t>
      </w:r>
      <w:r>
        <w:rPr>
          <w:b w:val="0"/>
          <w:i w:val="0"/>
        </w:rPr>
        <w:t xml:space="preserve"> </w:t>
      </w:r>
      <w:r>
        <w:rPr>
          <w:b w:val="0"/>
          <w:i/>
          <w:color w:val="5B6578"/>
        </w:rPr>
        <w:t>(Art. 2)</w:t>
      </w:r>
    </w:p>
    <w:p>
      <w:r>
        <w:rPr>
          <w:b/>
          <w:i w:val="0"/>
        </w:rPr>
        <w:t>130 € bruts/mois</w:t>
      </w:r>
      <w:r>
        <w:rPr>
          <w:b w:val="0"/>
          <w:i w:val="0"/>
        </w:rPr>
        <w:t xml:space="preserve"> (montant fixé par l'accord de branche Unicancer), proraté selon le temps que vous consacrez réellement à l'USC.</w:t>
      </w:r>
    </w:p>
    <w:p>
      <w:r>
        <w:rPr>
          <w:b/>
          <w:i w:val="0"/>
        </w:rPr>
        <w:t>Comment c'est calculé selon votre mode de travail</w:t>
      </w:r>
      <w:r>
        <w:rPr>
          <w:b w:val="0"/>
          <w:i w:val="0"/>
        </w:rPr>
        <w:t xml:space="preserve"> </w:t>
      </w:r>
      <w:r>
        <w:rPr>
          <w:b w:val="0"/>
          <w:i/>
          <w:color w:val="5B6578"/>
        </w:rPr>
        <w:t>(Art. 3)</w:t>
      </w:r>
    </w:p>
    <w:p>
      <w:pPr>
        <w:pStyle w:val="ListBullet"/>
      </w:pPr>
      <w:r>
        <w:rPr>
          <w:b/>
          <w:i w:val="0"/>
        </w:rPr>
        <w:t>Si vous êtes soignant de jour</w:t>
      </w:r>
      <w:r>
        <w:rPr>
          <w:b w:val="0"/>
          <w:i w:val="0"/>
        </w:rPr>
        <w:t xml:space="preserve"> : (nombre de jours travaillés à l'USC ÷ 20 jours/mois en moyenne) × 130 €, plafonné à 130 €/mois</w:t>
      </w:r>
    </w:p>
    <w:p>
      <w:pPr>
        <w:pStyle w:val="ListBullet"/>
      </w:pPr>
      <w:r>
        <w:rPr>
          <w:b/>
          <w:i w:val="0"/>
        </w:rPr>
        <w:t>Si vous êtes soignant de nuit à Angers</w:t>
      </w:r>
      <w:r>
        <w:rPr>
          <w:b w:val="0"/>
          <w:i w:val="0"/>
        </w:rPr>
        <w:t xml:space="preserve"> : (nombre de nuits à l'USC ÷ 12 nuits/mois en moyenne) × 130 €. </w:t>
      </w:r>
      <w:r>
        <w:rPr>
          <w:b w:val="0"/>
          <w:i/>
          <w:color w:val="5B6578"/>
        </w:rPr>
        <w:t>Exemple donné dans l'accord : 5 nuits à l'USC en mai → prime de 54,17 € bruts sur la paie de juin.</w:t>
      </w:r>
    </w:p>
    <w:p>
      <w:pPr>
        <w:pStyle w:val="ListBullet"/>
      </w:pPr>
      <w:r>
        <w:rPr>
          <w:b/>
          <w:i w:val="0"/>
        </w:rPr>
        <w:t>Calcul de base pour un soignant de nuit à Saint-Herblain</w:t>
      </w:r>
      <w:r>
        <w:rPr>
          <w:b w:val="0"/>
          <w:i w:val="0"/>
        </w:rPr>
        <w:t xml:space="preserve"> </w:t>
      </w:r>
      <w:r>
        <w:rPr>
          <w:b w:val="0"/>
          <w:i/>
          <w:color w:val="5B6578"/>
        </w:rPr>
        <w:t>(Art. 3.2)</w:t>
      </w:r>
      <w:r>
        <w:rPr>
          <w:b w:val="0"/>
          <w:i w:val="0"/>
        </w:rPr>
        <w:t xml:space="preserve"> : (nombre de nuits à l'USC ÷ 11 nuits/mois en moyenne) × 130 €. </w:t>
      </w:r>
      <w:r>
        <w:rPr>
          <w:b w:val="0"/>
          <w:i/>
          <w:color w:val="5B6578"/>
        </w:rPr>
        <w:t>Exemple : 5 nuits → 59,09 € bruts.</w:t>
      </w:r>
      <w:r>
        <w:rPr>
          <w:b w:val="0"/>
          <w:i w:val="0"/>
        </w:rPr>
        <w:t xml:space="preserve"> Pour les IDE et AS de nuit de Saint-Herblain, la règle particulière ci-dessous s'applique.</w:t>
      </w:r>
    </w:p>
    <w:p>
      <w:pPr>
        <w:pStyle w:val="ListBullet"/>
      </w:pPr>
      <w:r>
        <w:rPr>
          <w:b/>
          <w:i w:val="0"/>
        </w:rPr>
        <w:t>Si vous êtes IDE ou AS de nuit à Saint-Herblain</w:t>
      </w:r>
      <w:r>
        <w:rPr>
          <w:b w:val="0"/>
          <w:i w:val="0"/>
        </w:rPr>
        <w:t xml:space="preserve"> </w:t>
      </w:r>
      <w:r>
        <w:rPr>
          <w:b w:val="0"/>
          <w:i/>
          <w:color w:val="5B6578"/>
        </w:rPr>
        <w:t>(Art. 3.3 ; avenant du 26/04/2024, Art. 1)</w:t>
      </w:r>
      <w:r>
        <w:rPr>
          <w:b w:val="0"/>
          <w:i w:val="0"/>
        </w:rPr>
        <w:t xml:space="preserve"> : vous êtes éligible dès que 50 % ou plus de vos nuits du mois sont consacrées à l'USC (les nuits à l'USC sont tracées sur le planning et portées dans Chronos) ; montant de 130 € bruts proratés à votre temps de travail contractuel. </w:t>
      </w:r>
      <w:r>
        <w:rPr>
          <w:b w:val="0"/>
          <w:i/>
          <w:color w:val="5B6578"/>
        </w:rPr>
        <w:t>Exemple : 6 nuits sur 11 planifiées, temps de travail à 80 % → 104 € bruts.</w:t>
      </w:r>
      <w:r>
        <w:rPr>
          <w:b w:val="0"/>
          <w:i w:val="0"/>
        </w:rPr>
        <w:t xml:space="preserve"> Pour les AS, cette règle s'applique à partir du 1er jour du mois suivant la signature de l'avenant.</w:t>
      </w:r>
    </w:p>
    <w:p>
      <w:pPr>
        <w:pStyle w:val="ListBullet"/>
      </w:pPr>
      <w:r>
        <w:rPr>
          <w:b/>
          <w:i w:val="0"/>
        </w:rPr>
        <w:t>Quand le bâtiment Ambicion ou l'USIP ouvre à Saint-Herblain</w:t>
      </w:r>
      <w:r>
        <w:rPr>
          <w:b w:val="0"/>
          <w:i w:val="0"/>
        </w:rPr>
        <w:t xml:space="preserve"> </w:t>
      </w:r>
      <w:r>
        <w:rPr>
          <w:b w:val="0"/>
          <w:i/>
          <w:color w:val="5B6578"/>
        </w:rPr>
        <w:t>(avenant du 26/04/2024, Art. 2)</w:t>
      </w:r>
      <w:r>
        <w:rPr>
          <w:b w:val="0"/>
          <w:i w:val="0"/>
        </w:rPr>
        <w:t xml:space="preserve"> : dès le premier de ces deux événements, la prime des IDE et AS de nuit se calcule de la même manière que pour leurs collègues de jour du site de Saint-Herblain ou leurs collègues d'Angers, à partir du 1er jour du mois suivant l'événement.</w:t>
      </w:r>
    </w:p>
    <w:p>
      <w:r>
        <w:rPr>
          <w:b/>
          <w:i w:val="0"/>
        </w:rPr>
        <w:t>Dates et signataires</w:t>
      </w:r>
    </w:p>
    <w:p>
      <w:pPr>
        <w:pStyle w:val="ListBullet"/>
      </w:pPr>
      <w:r>
        <w:rPr>
          <w:b w:val="0"/>
          <w:i w:val="0"/>
        </w:rPr>
        <w:t xml:space="preserve">Signé le </w:t>
      </w:r>
      <w:r>
        <w:rPr>
          <w:b/>
          <w:i w:val="0"/>
        </w:rPr>
        <w:t>1er décembre 2023</w:t>
      </w:r>
      <w:r>
        <w:rPr>
          <w:b w:val="0"/>
          <w:i w:val="0"/>
        </w:rPr>
        <w:t xml:space="preserve">, effet </w:t>
      </w:r>
      <w:r>
        <w:rPr>
          <w:b/>
          <w:i w:val="0"/>
        </w:rPr>
        <w:t>rétroactif au 1er janvier 2023</w:t>
      </w:r>
      <w:r>
        <w:rPr>
          <w:b w:val="0"/>
          <w:i w:val="0"/>
        </w:rPr>
        <w:t>, durée indéterminée.</w:t>
      </w:r>
    </w:p>
    <w:p>
      <w:pPr>
        <w:pStyle w:val="ListBullet"/>
      </w:pPr>
      <w:r>
        <w:rPr>
          <w:b w:val="0"/>
          <w:i w:val="0"/>
        </w:rPr>
        <w:t xml:space="preserve">Signé par : ICO (Mario Campone, DG), </w:t>
      </w:r>
      <w:r>
        <w:rPr>
          <w:b/>
          <w:i w:val="0"/>
        </w:rPr>
        <w:t>CGT-FO</w:t>
      </w:r>
      <w:r>
        <w:rPr>
          <w:b w:val="0"/>
          <w:i w:val="0"/>
        </w:rPr>
        <w:t xml:space="preserve"> (par délégation de pouvoir), </w:t>
      </w:r>
      <w:r>
        <w:rPr>
          <w:b/>
          <w:i w:val="0"/>
        </w:rPr>
        <w:t>CFE-CGC</w:t>
      </w:r>
      <w:r>
        <w:rPr>
          <w:b w:val="0"/>
          <w:i w:val="0"/>
        </w:rPr>
        <w:t xml:space="preserve"> (Maxime Brémaud).</w:t>
      </w:r>
    </w:p>
    <w:p>
      <w:pPr>
        <w:pStyle w:val="ListBullet"/>
      </w:pPr>
      <w:r>
        <w:rPr>
          <w:b w:val="0"/>
          <w:i w:val="0"/>
        </w:rPr>
        <w:t xml:space="preserve">Avenant signé le </w:t>
      </w:r>
      <w:r>
        <w:rPr>
          <w:b/>
          <w:i w:val="0"/>
        </w:rPr>
        <w:t>26 avril 2024</w:t>
      </w:r>
      <w:r>
        <w:rPr>
          <w:b w:val="0"/>
          <w:i w:val="0"/>
        </w:rPr>
        <w:t xml:space="preserve"> par l'ICO (Mario Campone, DG), la </w:t>
      </w:r>
      <w:r>
        <w:rPr>
          <w:b/>
          <w:i w:val="0"/>
        </w:rPr>
        <w:t>CGT-FO</w:t>
      </w:r>
      <w:r>
        <w:rPr>
          <w:b w:val="0"/>
          <w:i w:val="0"/>
        </w:rPr>
        <w:t xml:space="preserve"> (David Di Peri), </w:t>
      </w:r>
      <w:r>
        <w:rPr>
          <w:b/>
          <w:i w:val="0"/>
        </w:rPr>
        <w:t>Sud Santé-Sociaux</w:t>
      </w:r>
      <w:r>
        <w:rPr>
          <w:b w:val="0"/>
          <w:i w:val="0"/>
        </w:rPr>
        <w:t xml:space="preserve"> (Julien Rosan) et la </w:t>
      </w:r>
      <w:r>
        <w:rPr>
          <w:b/>
          <w:i w:val="0"/>
        </w:rPr>
        <w:t>CFE-CGC</w:t>
      </w:r>
      <w:r>
        <w:rPr>
          <w:b w:val="0"/>
          <w:i w:val="0"/>
        </w:rPr>
        <w:t xml:space="preserve"> (Maxime Brémaud).</w:t>
      </w:r>
    </w:p>
    <w:p>
      <w:r>
        <w:rPr>
          <w:b/>
          <w:i w:val="0"/>
        </w:rPr>
        <w:t>Suivi de l'accord</w:t>
      </w:r>
    </w:p>
    <w:p>
      <w:pPr>
        <w:pStyle w:val="ListBullet"/>
      </w:pPr>
      <w:r>
        <w:rPr>
          <w:b w:val="0"/>
          <w:i w:val="0"/>
        </w:rPr>
        <w:t xml:space="preserve">Durée : accord à durée indéterminée, à effet rétroactif au 1er janvier 2023 </w:t>
      </w:r>
      <w:r>
        <w:rPr>
          <w:b w:val="0"/>
          <w:i/>
          <w:color w:val="5B6578"/>
        </w:rPr>
        <w:t>(Art. 4.1)</w:t>
      </w:r>
    </w:p>
    <w:p>
      <w:pPr>
        <w:pStyle w:val="ListBullet"/>
      </w:pPr>
      <w:r>
        <w:rPr>
          <w:b w:val="0"/>
          <w:i w:val="0"/>
        </w:rPr>
        <w:t xml:space="preserve">Révision : procédure légale classique — demande écrite d'une organisation syndicale représentative, puis convocation par la Direction dans un délai de 2 mois </w:t>
      </w:r>
      <w:r>
        <w:rPr>
          <w:b w:val="0"/>
          <w:i/>
          <w:color w:val="5B6578"/>
        </w:rPr>
        <w:t>(Art. 4.2)</w:t>
      </w:r>
    </w:p>
    <w:p>
      <w:pPr>
        <w:pStyle w:val="ListBullet"/>
      </w:pPr>
      <w:r>
        <w:rPr>
          <w:b w:val="0"/>
          <w:i w:val="0"/>
        </w:rPr>
        <w:t xml:space="preserve">Dénonciation : possible à tout moment par lettre recommandée avec accusé de réception ; l'application cesse en principe au dernier jour des mandats CSE ; l'accord est indivisible, sans dénonciation partielle possible </w:t>
      </w:r>
      <w:r>
        <w:rPr>
          <w:b w:val="0"/>
          <w:i/>
          <w:color w:val="5B6578"/>
        </w:rPr>
        <w:t>(Art. 4.3)</w:t>
      </w:r>
    </w:p>
    <w:p>
      <w:pPr>
        <w:pStyle w:val="ListBullet"/>
      </w:pPr>
      <w:r>
        <w:rPr>
          <w:b w:val="0"/>
          <w:i w:val="0"/>
        </w:rPr>
        <w:t>Aucune commission de suivi, bilan annuel ou indicateur de suivi spécifique n'est prévu par cet accord.</w:t>
      </w:r>
    </w:p>
    <w:p>
      <w:r>
        <w:rPr>
          <w:color w:val="5B6578"/>
          <w:sz w:val="16"/>
        </w:rPr>
        <w:t>────────────────────────────────────────</w:t>
      </w:r>
    </w:p>
    <w:p>
      <w:r>
        <w:rPr>
          <w:b w:val="0"/>
          <w:i/>
          <w:color w:val="5B6578"/>
        </w:rPr>
        <w:t>Source : accord du 1er décembre 2023 et avenant du 26 avril 2024.</w:t>
      </w:r>
    </w:p>
    <w:p>
      <w:r>
        <w:rPr>
          <w:b w:val="0"/>
          <w:i/>
          <w:color w:val="5B6578"/>
        </w:rPr>
        <w:t xml:space="preserve">Les références entre parenthèses renvoient aux articles de l'accord. Seul le texte intégral fait référence : </w:t>
      </w:r>
      <w:r>
        <w:rPr>
          <w:b w:val="0"/>
          <w:i/>
          <w:color w:val="5B6578"/>
        </w:rPr>
        <w:t>accord complet (PDF)</w:t>
      </w:r>
      <w:r>
        <w:rPr>
          <w:b w:val="0"/>
          <w:i/>
          <w:color w:val="5B6578"/>
        </w:rPr>
        <w:t xml:space="preserve"> et </w:t>
      </w:r>
      <w:r>
        <w:rPr>
          <w:b w:val="0"/>
          <w:i/>
          <w:color w:val="5B6578"/>
        </w:rPr>
        <w:t>avenant du 26/04/2024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