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Intéressement 2026</w:t>
      </w:r>
    </w:p>
    <w:p>
      <w:pPr>
        <w:pStyle w:val="Heading1"/>
      </w:pPr>
      <w:r>
        <w:rPr>
          <w:b w:val="0"/>
          <w:i w:val="0"/>
        </w:rPr>
        <w:t>Intéressement 2026</w:t>
      </w:r>
    </w:p>
    <w:p>
      <w:r>
        <w:rPr>
          <w:b/>
          <w:i w:val="0"/>
        </w:rPr>
        <w:t>Signé le 29 mai 2026 par l'ICO (Mario CAMPONE), CGT-FO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Accord à durée déterminée couvrant les exercices 2026, 2027 et 2028. Versement au plus tard le 31 mai de l'année suivante.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Tous les salariés de l'ICO (médicaux et non médicaux, cadres dirigeants, CDD, temps partiel), avec </w:t>
      </w:r>
      <w:r>
        <w:rPr>
          <w:b/>
          <w:i w:val="0"/>
        </w:rPr>
        <w:t>3 mois d'ancienneté minimum</w:t>
      </w:r>
      <w:r>
        <w:rPr>
          <w:b w:val="0"/>
          <w:i w:val="0"/>
        </w:rPr>
        <w:t xml:space="preserve"> au cours de l'exercice concerné. L'intéressement ne peut pas être refusé.</w:t>
      </w:r>
    </w:p>
    <w:p>
      <w:r>
        <w:rPr>
          <w:b w:val="0"/>
          <w:i w:val="0"/>
        </w:rPr>
        <w:t>Pour les entrées/sorties en cours d'année : proraté au nombre de mois complets de présence.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Comment est calculé l'intéressement </w:t>
      </w:r>
      <w:r>
        <w:rPr>
          <w:b w:val="0"/>
          <w:i/>
          <w:color w:val="5B6578"/>
        </w:rPr>
        <w:t>(Art. 3-4)</w:t>
      </w:r>
    </w:p>
    <w:p>
      <w:r>
        <w:rPr>
          <w:b w:val="0"/>
          <w:i w:val="0"/>
        </w:rPr>
        <w:t xml:space="preserve">L'intéressement résulte de l'addition de </w:t>
      </w:r>
      <w:r>
        <w:rPr>
          <w:b/>
          <w:i w:val="0"/>
        </w:rPr>
        <w:t>3 critères indépendants</w:t>
      </w:r>
      <w:r>
        <w:rPr>
          <w:b w:val="0"/>
          <w:i w:val="0"/>
        </w:rPr>
        <w:t>, sous réserve d'un résultat comptable positif.</w:t>
      </w:r>
    </w:p>
    <w:p>
      <w:pPr>
        <w:pStyle w:val="Heading3"/>
      </w:pPr>
      <w:r>
        <w:rPr>
          <w:b w:val="0"/>
          <w:i w:val="0"/>
        </w:rPr>
        <w:t xml:space="preserve">Critère 1 — Satisfaction des patients </w:t>
      </w:r>
      <w:r>
        <w:rPr>
          <w:b w:val="0"/>
          <w:i/>
          <w:color w:val="5B6578"/>
        </w:rPr>
        <w:t>(E-Satis)</w:t>
      </w:r>
    </w:p>
    <w:p>
      <w:r>
        <w:rPr>
          <w:b w:val="0"/>
          <w:i w:val="0"/>
        </w:rPr>
        <w:t>Basé sur les scores HAS (enquêtes E-Satis +48h et E-Satis Chirurgie Ambulatoire)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Classe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Score +48h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Score Chir. Amb.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 (insuffisant)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&lt; 70,7%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&lt; 73,1%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0 €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70,7% à 74%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73,1% à 76,5%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50 000 €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74% à 77,3%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76,5% à 79,7%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75 000 €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 (excellent)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&gt; 77,3%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&gt; 79,7%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100 000 €</w:t>
            </w:r>
          </w:p>
        </w:tc>
      </w:tr>
    </w:tbl>
    <w:p/>
    <w:p>
      <w:r>
        <w:rPr>
          <w:b/>
          <w:i w:val="0"/>
        </w:rPr>
        <w:t>SG = E-Satis +48h + E-Satis Chirurgie Ambulatoire</w:t>
      </w:r>
      <w:r>
        <w:rPr>
          <w:b w:val="0"/>
          <w:i w:val="0"/>
        </w:rPr>
        <w:t xml:space="preserve"> (max 200 000 €)</w:t>
      </w:r>
    </w:p>
    <w:p>
      <w:pPr>
        <w:pStyle w:val="Heading3"/>
      </w:pPr>
      <w:r>
        <w:rPr>
          <w:b w:val="0"/>
          <w:i w:val="0"/>
        </w:rPr>
        <w:t xml:space="preserve">Critère 2 — Développement de l'activité en volume </w:t>
      </w:r>
      <w:r>
        <w:rPr>
          <w:b w:val="0"/>
          <w:i/>
          <w:color w:val="5B6578"/>
        </w:rPr>
        <w:t>(vs N-1)</w:t>
      </w:r>
    </w:p>
    <w:p>
      <w:r>
        <w:rPr>
          <w:b w:val="0"/>
          <w:i w:val="0"/>
        </w:rPr>
        <w:t>Basé sur l'évolution de l'activité (scanner, IRM, TEP, scintigraphie, chirurgie, radiothérapie, chimiothérapie)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Évolution activité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&lt; 0%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0% à 1%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100 000 €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1% à 2%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200 000 €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2% à 4%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300 000 €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4% à 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400 000 €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&gt; 5%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500 000 €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Critère 3 — Capacité d'autofinancement (CAF)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&lt; 11 M€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11 à 12 M€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3% de la CAF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12 à 15 M€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4% de la CAF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15 à 17 M€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5% de la CAF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&gt; 17 M€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6% de la CAF, plafonné à 1 320 000 €</w:t>
            </w:r>
          </w:p>
        </w:tc>
      </w:tr>
    </w:tbl>
    <w:p/>
    <w:p>
      <w:r>
        <w:rPr>
          <w:b/>
          <w:i w:val="0"/>
        </w:rPr>
        <w:t>Formule finale : I = SG + AV + CAF</w:t>
      </w:r>
      <w:r>
        <w:rPr>
          <w:b w:val="0"/>
          <w:i w:val="0"/>
        </w:rPr>
        <w:t>, ajusté au résultat comptable (aucun versement si déficitaire).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Répartition entre salariés </w:t>
      </w:r>
      <w:r>
        <w:rPr>
          <w:b w:val="0"/>
          <w:i/>
          <w:color w:val="5B6578"/>
        </w:rPr>
        <w:t>(Art. 5)</w:t>
      </w:r>
    </w:p>
    <w:p>
      <w:pPr>
        <w:pStyle w:val="ListBullet"/>
      </w:pPr>
      <w:r>
        <w:rPr>
          <w:b/>
          <w:i w:val="0"/>
        </w:rPr>
        <w:t>Moitié de la prime</w:t>
      </w:r>
      <w:r>
        <w:rPr>
          <w:b w:val="0"/>
          <w:i w:val="0"/>
        </w:rPr>
        <w:t xml:space="preserve"> : répartie </w:t>
      </w:r>
      <w:r>
        <w:rPr>
          <w:b/>
          <w:i w:val="0"/>
        </w:rPr>
        <w:t>uniformément</w:t>
      </w:r>
      <w:r>
        <w:rPr>
          <w:b w:val="0"/>
          <w:i w:val="0"/>
        </w:rPr>
        <w:t xml:space="preserve"> entre tous les bénéficiaires (au prorata de la présence et du temps de travail pour les temps partiels et les entrées/sorties en cours d'année)</w:t>
      </w:r>
    </w:p>
    <w:p>
      <w:pPr>
        <w:pStyle w:val="ListBullet"/>
      </w:pPr>
      <w:r>
        <w:rPr>
          <w:b/>
          <w:i w:val="0"/>
        </w:rPr>
        <w:t>Autre moitié</w:t>
      </w:r>
      <w:r>
        <w:rPr>
          <w:b w:val="0"/>
          <w:i w:val="0"/>
        </w:rPr>
        <w:t xml:space="preserve"> : répartie </w:t>
      </w:r>
      <w:r>
        <w:rPr>
          <w:b/>
          <w:i w:val="0"/>
        </w:rPr>
        <w:t>au prorata des heures de travail effectif</w:t>
      </w:r>
      <w:r>
        <w:rPr>
          <w:b w:val="0"/>
          <w:i w:val="0"/>
        </w:rPr>
        <w:t xml:space="preserve"> ou assimilé (CP, jours fériés, RTT, formations, congés maternité/paternité, AT/MP, heures de délégation, jours de grève — mais pas les maladies ordinaires ni les absences non rémunérées), </w:t>
      </w:r>
      <w:r>
        <w:rPr>
          <w:b/>
          <w:i w:val="0"/>
        </w:rPr>
        <w:t>à l'exclusion des heures supplémentaires</w:t>
      </w:r>
      <w:r>
        <w:rPr>
          <w:b w:val="0"/>
          <w:i w:val="0"/>
        </w:rPr>
        <w:t xml:space="preserve"> pour les salariés à temps complet </w:t>
      </w:r>
      <w:r>
        <w:rPr>
          <w:b w:val="0"/>
          <w:i/>
          <w:color w:val="5B6578"/>
        </w:rPr>
        <w:t>(Art. 5)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Plafonds </w:t>
      </w:r>
      <w:r>
        <w:rPr>
          <w:b w:val="0"/>
          <w:i/>
          <w:color w:val="5B6578"/>
        </w:rPr>
        <w:t>(Art. 6)</w:t>
      </w:r>
    </w:p>
    <w:p>
      <w:pPr>
        <w:pStyle w:val="ListBullet"/>
      </w:pPr>
      <w:r>
        <w:rPr>
          <w:b/>
          <w:i w:val="0"/>
        </w:rPr>
        <w:t>Plafond global</w:t>
      </w:r>
      <w:r>
        <w:rPr>
          <w:b w:val="0"/>
          <w:i w:val="0"/>
        </w:rPr>
        <w:t xml:space="preserve"> : le montant total distribué à l'ensemble des salariés ne peut pas dépasser </w:t>
      </w:r>
      <w:r>
        <w:rPr>
          <w:b/>
          <w:i w:val="0"/>
        </w:rPr>
        <w:t>20 % de la masse des salaires bruts</w:t>
      </w:r>
      <w:r>
        <w:rPr>
          <w:b w:val="0"/>
          <w:i w:val="0"/>
        </w:rPr>
        <w:t xml:space="preserve"> versés aux salariés couverts par l'accord </w:t>
      </w:r>
      <w:r>
        <w:rPr>
          <w:b w:val="0"/>
          <w:i/>
          <w:color w:val="5B6578"/>
        </w:rPr>
        <w:t>(Art. 6-1)</w:t>
      </w:r>
    </w:p>
    <w:p>
      <w:pPr>
        <w:pStyle w:val="ListBullet"/>
      </w:pPr>
      <w:r>
        <w:rPr>
          <w:b/>
          <w:i w:val="0"/>
        </w:rPr>
        <w:t>Plafond individuel</w:t>
      </w:r>
      <w:r>
        <w:rPr>
          <w:b w:val="0"/>
          <w:i w:val="0"/>
        </w:rPr>
        <w:t xml:space="preserve"> : votre prime d'intéressement ne peut pas dépasser </w:t>
      </w:r>
      <w:r>
        <w:rPr>
          <w:b/>
          <w:i w:val="0"/>
        </w:rPr>
        <w:t>la moitié du plafond annuel de la sécurité sociale (PASS)</w:t>
      </w:r>
      <w:r>
        <w:rPr>
          <w:b w:val="0"/>
          <w:i w:val="0"/>
        </w:rPr>
        <w:t xml:space="preserve"> en vigueur pour l'exercice concerné — proraté si vous n'avez pas une année complète de présence </w:t>
      </w:r>
      <w:r>
        <w:rPr>
          <w:b w:val="0"/>
          <w:i/>
          <w:color w:val="5B6578"/>
        </w:rPr>
        <w:t>(Art. 6-2)</w:t>
      </w:r>
    </w:p>
    <w:p>
      <w:pPr>
        <w:pStyle w:val="ListBullet"/>
      </w:pPr>
      <w:r>
        <w:rPr>
          <w:b w:val="0"/>
          <w:i w:val="0"/>
        </w:rPr>
        <w:t xml:space="preserve">En cas de dépassement, votre prime est automatiquement ramenée à ce plafond, </w:t>
      </w:r>
      <w:r>
        <w:rPr>
          <w:b/>
          <w:i w:val="0"/>
        </w:rPr>
        <w:t>sans compensation ni report</w:t>
      </w:r>
      <w:r>
        <w:rPr>
          <w:b w:val="0"/>
          <w:i w:val="0"/>
        </w:rPr>
        <w:t xml:space="preserve"> sur les autres salariés ou dans le temps </w:t>
      </w:r>
      <w:r>
        <w:rPr>
          <w:b w:val="0"/>
          <w:i/>
          <w:color w:val="5B6578"/>
        </w:rPr>
        <w:t>(Art. 6-2)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Que faire de votre prime </w:t>
      </w:r>
      <w:r>
        <w:rPr>
          <w:b w:val="0"/>
          <w:i/>
          <w:color w:val="5B6578"/>
        </w:rPr>
        <w:t>(Art. 7)</w:t>
      </w:r>
    </w:p>
    <w:p>
      <w:r>
        <w:rPr>
          <w:b w:val="0"/>
          <w:i w:val="0"/>
        </w:rPr>
        <w:t xml:space="preserve">Dans les </w:t>
      </w:r>
      <w:r>
        <w:rPr>
          <w:b/>
          <w:i w:val="0"/>
        </w:rPr>
        <w:t>15 jours</w:t>
      </w:r>
      <w:r>
        <w:rPr>
          <w:b w:val="0"/>
          <w:i w:val="0"/>
        </w:rPr>
        <w:t xml:space="preserve"> après réception de votre fiche (au plus tard le 15 mai N+1), vous choisissez entre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Paiement direct</w:t>
      </w:r>
      <w:r>
        <w:rPr>
          <w:b w:val="0"/>
          <w:i w:val="0"/>
        </w:rPr>
        <w:t xml:space="preserve"> (imposable à l'IR, mais exonéré de cotisations sociales sauf CSG/CRDS)</w:t>
      </w:r>
      <w:r>
        <w:rPr>
          <w:b w:val="0"/>
          <w:i w:val="0"/>
        </w:rPr>
        <w:t xml:space="preserve"> - </w:t>
      </w:r>
      <w:r>
        <w:rPr>
          <w:b/>
          <w:i w:val="0"/>
        </w:rPr>
        <w:t>Affectation sur le PEE</w:t>
      </w:r>
      <w:r>
        <w:rPr>
          <w:b w:val="0"/>
          <w:i w:val="0"/>
        </w:rPr>
        <w:t xml:space="preserve"> (exonération d'IR, bloqué 5 ans sauf cas de déblocage anticipé)</w:t>
      </w:r>
      <w:r>
        <w:rPr>
          <w:b w:val="0"/>
          <w:i w:val="0"/>
        </w:rPr>
        <w:t xml:space="preserve"> - </w:t>
      </w:r>
      <w:r>
        <w:rPr>
          <w:b/>
          <w:i w:val="0"/>
        </w:rPr>
        <w:t>Affectation sur le PERCOL</w:t>
      </w:r>
      <w:r>
        <w:rPr>
          <w:b w:val="0"/>
          <w:i w:val="0"/>
        </w:rPr>
        <w:t xml:space="preserve"> - </w:t>
      </w:r>
      <w:r>
        <w:rPr>
          <w:b/>
          <w:i w:val="0"/>
        </w:rPr>
        <w:t>Sans réponse</w:t>
      </w:r>
      <w:r>
        <w:rPr>
          <w:b w:val="0"/>
          <w:i w:val="0"/>
        </w:rPr>
        <w:t xml:space="preserve"> : versement automatique sur le fonds le moins risqué du PEE</w:t>
      </w:r>
    </w:p>
    <w:p>
      <w:r>
        <w:rPr>
          <w:b w:val="0"/>
          <w:i w:val="0"/>
        </w:rPr>
        <w:t>Un abondement de l'ICO sur le PEE peut être décidé lors de la NAO, dans la limite du triple de votre versement et de 8% du plafond annuel SS.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Suivi de l'accord</w:t>
      </w:r>
    </w:p>
    <w:p>
      <w:pPr>
        <w:pStyle w:val="ListBullet"/>
      </w:pPr>
      <w:r>
        <w:rPr>
          <w:b/>
          <w:i w:val="0"/>
        </w:rPr>
        <w:t>Information du CSE Central</w:t>
      </w:r>
      <w:r>
        <w:rPr>
          <w:b w:val="0"/>
          <w:i w:val="0"/>
        </w:rPr>
        <w:t xml:space="preserve"> : l'application de l'accord est suivie par le CSE Central, qui se réunit chaque fois qu'il y a lieu de calculer ou de répartir l'intéressement ; les éléments de calcul lui sont transmis au moins 8 jours avant la réunion </w:t>
      </w:r>
      <w:r>
        <w:rPr>
          <w:b w:val="0"/>
          <w:i/>
          <w:color w:val="5B6578"/>
        </w:rPr>
        <w:t>(Art. 8.1)</w:t>
      </w:r>
    </w:p>
    <w:p>
      <w:pPr>
        <w:pStyle w:val="ListBullet"/>
      </w:pPr>
      <w:r>
        <w:rPr>
          <w:b/>
          <w:i w:val="0"/>
        </w:rPr>
        <w:t>Bilan annuel</w:t>
      </w:r>
      <w:r>
        <w:rPr>
          <w:b w:val="0"/>
          <w:i w:val="0"/>
        </w:rPr>
        <w:t xml:space="preserve"> : les résultats annuels de l'intéressement font l'objet d'un bilan présenté en CSE Central, indiquant le montant attribué et le nombre de bénéficiaires </w:t>
      </w:r>
      <w:r>
        <w:rPr>
          <w:b w:val="0"/>
          <w:i/>
          <w:color w:val="5B6578"/>
        </w:rPr>
        <w:t>(Art. 8.1)</w:t>
      </w:r>
    </w:p>
    <w:p>
      <w:pPr>
        <w:pStyle w:val="ListBullet"/>
      </w:pPr>
      <w:r>
        <w:rPr>
          <w:b/>
          <w:i w:val="0"/>
        </w:rPr>
        <w:t>Fiche individuelle</w:t>
      </w:r>
      <w:r>
        <w:rPr>
          <w:b w:val="0"/>
          <w:i w:val="0"/>
        </w:rPr>
        <w:t xml:space="preserve"> : chaque salarié reçoit une fiche détaillant le calcul de sa prime (montant global, montant moyen, droits individuels, CSG/CRDS, délai de réponse) </w:t>
      </w:r>
      <w:r>
        <w:rPr>
          <w:b w:val="0"/>
          <w:i/>
          <w:color w:val="5B6578"/>
        </w:rPr>
        <w:t>(Art. 8.2)</w:t>
      </w:r>
    </w:p>
    <w:p>
      <w:pPr>
        <w:pStyle w:val="ListBullet"/>
      </w:pPr>
      <w:r>
        <w:rPr>
          <w:b/>
          <w:i w:val="0"/>
        </w:rPr>
        <w:t>Clause de revoyure sur les indicateurs</w:t>
      </w:r>
      <w:r>
        <w:rPr>
          <w:b w:val="0"/>
          <w:i w:val="0"/>
        </w:rPr>
        <w:t xml:space="preserve"> : en cas de modification ou d'abandon d'un indicateur par la HAS, la Direction s'engage à réunir rapidement les partenaires sociaux pour définir un indicateur équivalent </w:t>
      </w:r>
      <w:r>
        <w:rPr>
          <w:b w:val="0"/>
          <w:i/>
          <w:color w:val="5B6578"/>
        </w:rPr>
        <w:t>(Art. 4.1)</w:t>
      </w:r>
    </w:p>
    <w:p>
      <w:pPr>
        <w:pStyle w:val="ListBullet"/>
      </w:pPr>
      <w:r>
        <w:rPr>
          <w:b/>
          <w:i w:val="0"/>
        </w:rPr>
        <w:t>Supplément d'intéressement</w:t>
      </w:r>
      <w:r>
        <w:rPr>
          <w:b w:val="0"/>
          <w:i w:val="0"/>
        </w:rPr>
        <w:t xml:space="preserve"> : en cas d'intention de verser un supplément, la Direction s'engage à ouvrir une négociation avec les délégués syndicaux </w:t>
      </w:r>
      <w:r>
        <w:rPr>
          <w:b w:val="0"/>
          <w:i/>
          <w:color w:val="5B6578"/>
        </w:rPr>
        <w:t>(Art. 4.3)</w:t>
      </w:r>
    </w:p>
    <w:p>
      <w:pPr>
        <w:pStyle w:val="ListBullet"/>
      </w:pPr>
      <w:r>
        <w:rPr>
          <w:b/>
          <w:i w:val="0"/>
        </w:rPr>
        <w:t>Règlement des différends</w:t>
      </w:r>
      <w:r>
        <w:rPr>
          <w:b w:val="0"/>
          <w:i w:val="0"/>
        </w:rPr>
        <w:t xml:space="preserve"> : tout salarié peut saisir le Directeur Général par courrier ; le litige et la réponse apportée sont communiqués aux délégués syndicaux signataires ; un bilan annuel des litiges éventuels est présenté lors de la NAO </w:t>
      </w:r>
      <w:r>
        <w:rPr>
          <w:b w:val="0"/>
          <w:i/>
          <w:color w:val="5B6578"/>
        </w:rPr>
        <w:t>(Art. 9.2)</w:t>
      </w:r>
    </w:p>
    <w:p>
      <w:pPr>
        <w:pStyle w:val="ListBullet"/>
      </w:pPr>
      <w:r>
        <w:rPr>
          <w:b/>
          <w:i w:val="0"/>
        </w:rPr>
        <w:t>Révision</w:t>
      </w:r>
      <w:r>
        <w:rPr>
          <w:b w:val="0"/>
          <w:i w:val="0"/>
        </w:rPr>
        <w:t xml:space="preserve"> : toute demande doit être accompagnée d'un projet de rédaction nouvelle ; les parties doivent se rencontrer dans les 3 mois ; une nouvelle négociation est obligatoire sans délai en cas d'évolution légale/réglementaire modifiant l'équilibre financier de l'accord </w:t>
      </w:r>
      <w:r>
        <w:rPr>
          <w:b w:val="0"/>
          <w:i/>
          <w:color w:val="5B6578"/>
        </w:rPr>
        <w:t>(Art. 9.3)</w:t>
      </w:r>
    </w:p>
    <w:p>
      <w:pPr>
        <w:pStyle w:val="ListBullet"/>
      </w:pPr>
      <w:r>
        <w:rPr>
          <w:b/>
          <w:i w:val="0"/>
        </w:rPr>
        <w:t>Dénonciation</w:t>
      </w:r>
      <w:r>
        <w:rPr>
          <w:b w:val="0"/>
          <w:i w:val="0"/>
        </w:rPr>
        <w:t xml:space="preserve"> : possible à tout moment, doit être motivée, préavis de 3 mois puis maintien des effets pendant 1 an </w:t>
      </w:r>
      <w:r>
        <w:rPr>
          <w:b w:val="0"/>
          <w:i/>
          <w:color w:val="5B6578"/>
        </w:rPr>
        <w:t>(Art. 9.4)</w:t>
      </w:r>
    </w:p>
    <w:p>
      <w:pPr>
        <w:pStyle w:val="ListBullet"/>
      </w:pPr>
      <w:r>
        <w:rPr>
          <w:b/>
          <w:i w:val="0"/>
        </w:rPr>
        <w:t>Durée</w:t>
      </w:r>
      <w:r>
        <w:rPr>
          <w:b w:val="0"/>
          <w:i w:val="0"/>
        </w:rPr>
        <w:t xml:space="preserve"> : accord à durée déterminée couvrant les exercices comptables 2026, 2027 et 2028 </w:t>
      </w:r>
      <w:r>
        <w:rPr>
          <w:b w:val="0"/>
          <w:i/>
          <w:color w:val="5B6578"/>
        </w:rPr>
        <w:t>(Préambule)</w:t>
      </w:r>
      <w:r>
        <w:rPr>
          <w:b w:val="0"/>
          <w:i w:val="0"/>
        </w:rPr>
        <w:t>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d'intéressement (29/05/2026), signé CGT-FO, CFE-CGC. Couvre les exercices 2026, 2027 et 2028.</w:t>
      </w:r>
    </w:p>
    <w:p>
      <w:r>
        <w:rPr>
          <w:b w:val="0"/>
          <w:i/>
          <w:color w:val="5B6578"/>
        </w:rPr>
        <w:t xml:space="preserve">Les références entre parenthèses renvoient aux articles de l'accord. Seul le texte intégral fait référence : </w:t>
      </w:r>
      <w:r>
        <w:rPr>
          <w:b w:val="0"/>
          <w:i/>
          <w:color w:val="5B6578"/>
        </w:rPr>
        <w:t>accord complet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