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203A"/>
        </w:rPr>
        <w:t>Prime chaussures</w:t>
      </w:r>
    </w:p>
    <w:p>
      <w:pPr>
        <w:pStyle w:val="Heading1"/>
      </w:pPr>
      <w:r>
        <w:rPr>
          <w:b w:val="0"/>
          <w:i w:val="0"/>
        </w:rPr>
        <w:t>Prime chaussures</w:t>
      </w:r>
    </w:p>
    <w:p>
      <w:r>
        <w:rPr>
          <w:b/>
          <w:i w:val="0"/>
        </w:rPr>
        <w:t>Signé le 21 juin 2023 par l'ICO (Pr Mario CAMPONE), CGT-FO, Sud Santé-Sociaux et CFE-CGC.</w:t>
      </w:r>
      <w:r>
        <w:rPr>
          <w:b w:val="0"/>
          <w:i w:val="0"/>
        </w:rPr>
        <w:t xml:space="preserve"> </w:t>
      </w:r>
      <w:r>
        <w:rPr>
          <w:b w:val="0"/>
          <w:i/>
          <w:color w:val="5B6578"/>
        </w:rPr>
        <w:t>En vigueur depuis le 1er juillet 2023, durée indéterminée.</w:t>
      </w:r>
    </w:p>
    <w:p>
      <w:r>
        <w:rPr>
          <w:color w:val="5B6578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 xml:space="preserve">Qui est concerné </w:t>
      </w:r>
      <w:r>
        <w:rPr>
          <w:b w:val="0"/>
          <w:i/>
          <w:color w:val="5B6578"/>
        </w:rPr>
        <w:t>(Art. 2)</w:t>
      </w:r>
    </w:p>
    <w:p>
      <w:pPr>
        <w:pStyle w:val="ListBullet"/>
      </w:pPr>
      <w:r>
        <w:rPr>
          <w:b w:val="0"/>
          <w:i w:val="0"/>
        </w:rPr>
        <w:t>Aide-soignant(e) (hors bloc)</w:t>
      </w:r>
    </w:p>
    <w:p>
      <w:pPr>
        <w:pStyle w:val="ListBullet"/>
      </w:pPr>
      <w:r>
        <w:rPr>
          <w:b w:val="0"/>
          <w:i w:val="0"/>
        </w:rPr>
        <w:t>Agent de service hospitalier (ASH)</w:t>
      </w:r>
    </w:p>
    <w:p>
      <w:pPr>
        <w:pStyle w:val="ListBullet"/>
      </w:pPr>
      <w:r>
        <w:rPr>
          <w:b w:val="0"/>
          <w:i w:val="0"/>
        </w:rPr>
        <w:t>Brancardier</w:t>
      </w:r>
    </w:p>
    <w:p>
      <w:pPr>
        <w:pStyle w:val="ListBullet"/>
      </w:pPr>
      <w:r>
        <w:rPr>
          <w:b w:val="0"/>
          <w:i w:val="0"/>
        </w:rPr>
        <w:t>Diététicien(ne)</w:t>
      </w:r>
    </w:p>
    <w:p>
      <w:pPr>
        <w:pStyle w:val="ListBullet"/>
      </w:pPr>
      <w:r>
        <w:rPr>
          <w:b w:val="0"/>
          <w:i w:val="0"/>
        </w:rPr>
        <w:t>Enseignant(e) APA</w:t>
      </w:r>
    </w:p>
    <w:p>
      <w:pPr>
        <w:pStyle w:val="ListBullet"/>
      </w:pPr>
      <w:r>
        <w:rPr>
          <w:b w:val="0"/>
          <w:i w:val="0"/>
        </w:rPr>
        <w:t>Kinésithérapeute</w:t>
      </w:r>
    </w:p>
    <w:p>
      <w:pPr>
        <w:pStyle w:val="ListBullet"/>
      </w:pPr>
      <w:r>
        <w:rPr>
          <w:b w:val="0"/>
          <w:i w:val="0"/>
        </w:rPr>
        <w:t>Infirmier(e) diplômé(e) d'État (hors bloc)</w:t>
      </w:r>
    </w:p>
    <w:p>
      <w:pPr>
        <w:pStyle w:val="ListBullet"/>
      </w:pPr>
      <w:r>
        <w:rPr>
          <w:b w:val="0"/>
          <w:i w:val="0"/>
        </w:rPr>
        <w:t>Manipulateur en électroradiologie (MER)</w:t>
      </w:r>
    </w:p>
    <w:p>
      <w:pPr>
        <w:pStyle w:val="ListBullet"/>
      </w:pPr>
      <w:r>
        <w:rPr>
          <w:b w:val="0"/>
          <w:i w:val="0"/>
        </w:rPr>
        <w:t>Préparateur en pharmacie</w:t>
      </w:r>
    </w:p>
    <w:p>
      <w:pPr>
        <w:pStyle w:val="ListBullet"/>
      </w:pPr>
      <w:r>
        <w:rPr>
          <w:b w:val="0"/>
          <w:i w:val="0"/>
        </w:rPr>
        <w:t>Technicien de laboratoire</w:t>
      </w:r>
    </w:p>
    <w:p>
      <w:r>
        <w:rPr>
          <w:color w:val="5B6578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 xml:space="preserve">Le montant </w:t>
      </w:r>
      <w:r>
        <w:rPr>
          <w:b w:val="0"/>
          <w:i/>
          <w:color w:val="5B6578"/>
        </w:rPr>
        <w:t>(Art. 1)</w:t>
      </w:r>
    </w:p>
    <w:p>
      <w:r>
        <w:rPr>
          <w:b/>
          <w:i w:val="0"/>
        </w:rPr>
        <w:t>48 € bruts par an</w:t>
      </w:r>
      <w:r>
        <w:rPr>
          <w:b w:val="0"/>
          <w:i w:val="0"/>
        </w:rPr>
        <w:t xml:space="preserve">, versés en </w:t>
      </w:r>
      <w:r>
        <w:rPr>
          <w:b/>
          <w:i w:val="0"/>
        </w:rPr>
        <w:t>12 mensualités de 4 € bruts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Le montant est proraté au temps de travail contractuel et versé uniquement les mois de travail effectif (pas pendant les congés payés).</w:t>
      </w:r>
    </w:p>
    <w:p>
      <w:r>
        <w:rPr>
          <w:color w:val="5B6578"/>
          <w:sz w:val="16"/>
        </w:rPr>
        <w:t>────────────────────────────────────────</w:t>
      </w:r>
    </w:p>
    <w:p>
      <w:r>
        <w:rPr>
          <w:b/>
          <w:i w:val="0"/>
        </w:rPr>
        <w:t>Suivi de l'accord</w:t>
      </w:r>
    </w:p>
    <w:p>
      <w:pPr>
        <w:pStyle w:val="ListBullet"/>
      </w:pPr>
      <w:r>
        <w:rPr>
          <w:b w:val="0"/>
          <w:i w:val="0"/>
        </w:rPr>
        <w:t xml:space="preserve">Durée : accord à durée indéterminée, en vigueur depuis le 1er juillet 2023 </w:t>
      </w:r>
      <w:r>
        <w:rPr>
          <w:b w:val="0"/>
          <w:i/>
          <w:color w:val="5B6578"/>
        </w:rPr>
        <w:t>(Art. 4.1)</w:t>
      </w:r>
    </w:p>
    <w:p>
      <w:pPr>
        <w:pStyle w:val="ListBullet"/>
      </w:pPr>
      <w:r>
        <w:rPr>
          <w:b w:val="0"/>
          <w:i w:val="0"/>
        </w:rPr>
        <w:t xml:space="preserve">Révision : procédure légale classique — demande écrite d'une organisation syndicale représentative, puis convocation par la Direction dans un délai de 2 mois </w:t>
      </w:r>
      <w:r>
        <w:rPr>
          <w:b w:val="0"/>
          <w:i/>
          <w:color w:val="5B6578"/>
        </w:rPr>
        <w:t>(Art. 4.2)</w:t>
      </w:r>
    </w:p>
    <w:p>
      <w:pPr>
        <w:pStyle w:val="ListBullet"/>
      </w:pPr>
      <w:r>
        <w:rPr>
          <w:b w:val="0"/>
          <w:i w:val="0"/>
        </w:rPr>
        <w:t xml:space="preserve">Dénonciation : possible à tout moment par lettre recommandée avec accusé de réception ; l'application cesse en principe au dernier jour des mandats CSE ; l'accord est indivisible, sans dénonciation partielle possible </w:t>
      </w:r>
      <w:r>
        <w:rPr>
          <w:b w:val="0"/>
          <w:i/>
          <w:color w:val="5B6578"/>
        </w:rPr>
        <w:t>(Art. 4.3)</w:t>
      </w:r>
    </w:p>
    <w:p>
      <w:pPr>
        <w:pStyle w:val="ListBullet"/>
      </w:pPr>
      <w:r>
        <w:rPr>
          <w:b w:val="0"/>
          <w:i w:val="0"/>
        </w:rPr>
        <w:t>Aucune commission de suivi, bilan annuel ou indicateur de suivi spécifique n'est prévu par cet accord.</w:t>
      </w:r>
    </w:p>
    <w:p>
      <w:r>
        <w:rPr>
          <w:color w:val="5B6578"/>
          <w:sz w:val="16"/>
        </w:rPr>
        <w:t>────────────────────────────────────────</w:t>
      </w:r>
    </w:p>
    <w:p>
      <w:r>
        <w:rPr>
          <w:b w:val="0"/>
          <w:i/>
          <w:color w:val="5B6578"/>
        </w:rPr>
        <w:t>Source : Accord prime chaussures (21/06/2023), signé CGT-FO, Sud Santé-Sociaux, CFE-CGC.</w:t>
      </w:r>
    </w:p>
    <w:p>
      <w:r>
        <w:rPr>
          <w:b w:val="0"/>
          <w:i/>
          <w:color w:val="5B6578"/>
        </w:rPr>
        <w:t xml:space="preserve">Les références entre parenthèses renvoient aux articles de l'accord. Seul le texte intégral fait référence : </w:t>
      </w:r>
      <w:r>
        <w:rPr>
          <w:b w:val="0"/>
          <w:i/>
          <w:color w:val="5B6578"/>
        </w:rPr>
        <w:t>accord complet (PDF)</w:t>
      </w:r>
      <w:r>
        <w:rPr>
          <w:b w:val="0"/>
          <w:i/>
          <w:color w:val="5B6578"/>
        </w:rP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