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203A"/>
        </w:rPr>
        <w:t>Égalité femmes-hommes</w:t>
      </w:r>
    </w:p>
    <w:p>
      <w:pPr>
        <w:pStyle w:val="Heading1"/>
      </w:pPr>
      <w:r>
        <w:rPr>
          <w:b w:val="0"/>
          <w:i w:val="0"/>
        </w:rPr>
        <w:t>Égalité professionnelle Femmes-Hommes</w:t>
      </w:r>
    </w:p>
    <w:p>
      <w:r>
        <w:rPr>
          <w:b/>
          <w:i w:val="0"/>
        </w:rPr>
        <w:t>Signé le 29 mai 2026 par l'ICO (Mario CAMPONE), CGT-FO, Sud Santé-Sociaux et CFE-CGC.</w:t>
      </w:r>
      <w:r>
        <w:rPr>
          <w:b w:val="0"/>
          <w:i w:val="0"/>
        </w:rPr>
        <w:t xml:space="preserve"> </w:t>
      </w:r>
      <w:r>
        <w:rPr>
          <w:b w:val="0"/>
          <w:i/>
          <w:color w:val="5B6578"/>
        </w:rPr>
        <w:t>Accord à durée déterminée de 3 ans à compter de sa notification.</w:t>
      </w:r>
    </w:p>
    <w:p>
      <w:r>
        <w:rPr>
          <w:color w:val="5B6578"/>
          <w:sz w:val="16"/>
        </w:rPr>
        <w:t>────────────────────────────────────────</w:t>
      </w:r>
    </w:p>
    <w:p>
      <w:pPr>
        <w:pStyle w:val="Heading2"/>
      </w:pPr>
      <w:r>
        <w:rPr>
          <w:b w:val="0"/>
          <w:i w:val="0"/>
        </w:rPr>
        <w:t>Qui est concerné</w:t>
      </w:r>
    </w:p>
    <w:p>
      <w:r>
        <w:rPr>
          <w:b w:val="0"/>
          <w:i w:val="0"/>
        </w:rPr>
        <w:t>Tous les salariés de l'ICO.</w:t>
      </w:r>
    </w:p>
    <w:p>
      <w:r>
        <w:rPr>
          <w:color w:val="5B6578"/>
          <w:sz w:val="16"/>
        </w:rPr>
        <w:t>────────────────────────────────────────</w:t>
      </w:r>
    </w:p>
    <w:p>
      <w:pPr>
        <w:pStyle w:val="Heading2"/>
      </w:pPr>
      <w:r>
        <w:rPr>
          <w:b w:val="0"/>
          <w:i w:val="0"/>
        </w:rPr>
        <w:t xml:space="preserve">Sensibilisation et formation </w:t>
      </w:r>
      <w:r>
        <w:rPr>
          <w:b w:val="0"/>
          <w:i/>
          <w:color w:val="5B6578"/>
        </w:rPr>
        <w:t>(Art. 1)</w:t>
      </w:r>
    </w:p>
    <w:p>
      <w:pPr>
        <w:pStyle w:val="ListBullet"/>
      </w:pPr>
      <w:r>
        <w:rPr>
          <w:b/>
          <w:i w:val="0"/>
        </w:rPr>
        <w:t>Égalité F/H</w:t>
      </w:r>
      <w:r>
        <w:rPr>
          <w:b w:val="0"/>
          <w:i w:val="0"/>
        </w:rPr>
        <w:t xml:space="preserve"> : formation progressive de l'ensemble des salariés (objectif : 20%/an des salariés en place, 100% des nouveaux arrivants dans les 6 mois)</w:t>
      </w:r>
    </w:p>
    <w:p>
      <w:pPr>
        <w:pStyle w:val="ListBullet"/>
      </w:pPr>
      <w:r>
        <w:rPr>
          <w:b/>
          <w:i w:val="0"/>
        </w:rPr>
        <w:t>Violences sexistes et sexuelles (VSS)</w:t>
      </w:r>
      <w:r>
        <w:rPr>
          <w:b w:val="0"/>
          <w:i w:val="0"/>
        </w:rPr>
        <w:t xml:space="preserve"> : e-learning pour 100% des salariés avant le 30 décembre 2027 ; formation présentielle d'une demi-journée à déployer à partir de janvier 2028 pour 100% des salariés, et dans les 12 mois suivant chaque arrivée</w:t>
      </w:r>
    </w:p>
    <w:p>
      <w:r>
        <w:rPr>
          <w:color w:val="5B6578"/>
          <w:sz w:val="16"/>
        </w:rPr>
        <w:t>────────────────────────────────────────</w:t>
      </w:r>
    </w:p>
    <w:p>
      <w:pPr>
        <w:pStyle w:val="Heading2"/>
      </w:pPr>
      <w:r>
        <w:rPr>
          <w:b w:val="0"/>
          <w:i w:val="0"/>
        </w:rPr>
        <w:t xml:space="preserve">Articulation vie personnelle / vie professionnelle </w:t>
      </w:r>
      <w:r>
        <w:rPr>
          <w:b w:val="0"/>
          <w:i/>
          <w:color w:val="5B6578"/>
        </w:rPr>
        <w:t>(Art. 2)</w:t>
      </w:r>
    </w:p>
    <w:p>
      <w:pPr>
        <w:pStyle w:val="ListBullet"/>
      </w:pPr>
      <w:r>
        <w:rPr>
          <w:b/>
          <w:i w:val="0"/>
        </w:rPr>
        <w:t>Livret de parentalité</w:t>
      </w:r>
      <w:r>
        <w:rPr>
          <w:b w:val="0"/>
          <w:i w:val="0"/>
        </w:rPr>
        <w:t xml:space="preserve"> remis à 100% des salariés déclarant une naissance ou une adoption (aussi disponible sur l'intranet)</w:t>
      </w:r>
    </w:p>
    <w:p>
      <w:pPr>
        <w:pStyle w:val="ListBullet"/>
      </w:pPr>
      <w:r>
        <w:rPr>
          <w:b/>
          <w:i w:val="0"/>
        </w:rPr>
        <w:t>Entretien de ré-accueil</w:t>
      </w:r>
      <w:r>
        <w:rPr>
          <w:b w:val="0"/>
          <w:i w:val="0"/>
        </w:rPr>
        <w:t xml:space="preserve"> à la reprise après une absence longue : obligatoire et systématique dès 6 mois d'absence consécutifs (facultatif sur demande entre 4 et 6 mois) ; une </w:t>
      </w:r>
      <w:r>
        <w:rPr>
          <w:b/>
          <w:i w:val="0"/>
        </w:rPr>
        <w:t>journée de doublure</w:t>
      </w:r>
      <w:r>
        <w:rPr>
          <w:b w:val="0"/>
          <w:i w:val="0"/>
        </w:rPr>
        <w:t xml:space="preserve"> est organisée le jour de la reprise à partir de 4 mois d'absence</w:t>
      </w:r>
    </w:p>
    <w:p>
      <w:pPr>
        <w:pStyle w:val="ListBullet"/>
      </w:pPr>
      <w:r>
        <w:rPr>
          <w:b/>
          <w:i w:val="0"/>
        </w:rPr>
        <w:t>EAA</w:t>
      </w:r>
      <w:r>
        <w:rPr>
          <w:b w:val="0"/>
          <w:i w:val="0"/>
        </w:rPr>
        <w:t xml:space="preserve"> : tout salarié absent pendant la campagne est reçu à son retour pour un entretien de fixation d'objectifs</w:t>
      </w:r>
    </w:p>
    <w:p>
      <w:pPr>
        <w:pStyle w:val="ListBullet"/>
      </w:pPr>
      <w:r>
        <w:rPr>
          <w:b/>
          <w:i w:val="0"/>
        </w:rPr>
        <w:t>Absences enfants malades supplémentaires non rémunérées</w:t>
      </w:r>
      <w:r>
        <w:rPr>
          <w:b w:val="0"/>
          <w:i w:val="0"/>
        </w:rPr>
        <w:t xml:space="preserve"> </w:t>
      </w:r>
      <w:r>
        <w:rPr>
          <w:b w:val="0"/>
          <w:i/>
          <w:color w:val="5B6578"/>
        </w:rPr>
        <w:t>(Art. 2.4)</w:t>
      </w:r>
      <w:r>
        <w:rPr>
          <w:b w:val="0"/>
          <w:i w:val="0"/>
        </w:rPr>
        <w:t xml:space="preserve"> : en plus des jours CCN, des journées complètes supplémentaires peuvent être accordées sans solde si l'organisation du service le permet (vous pouvez utiliser vos heures de récupération pour être rémunéré sur ces jours) — prévenir votre responsable avant la prise de poste et fournir un </w:t>
      </w:r>
      <w:r>
        <w:rPr>
          <w:b/>
          <w:i w:val="0"/>
        </w:rPr>
        <w:t>justificatif médical</w:t>
      </w:r>
      <w:r>
        <w:rPr>
          <w:b w:val="0"/>
          <w:i w:val="0"/>
        </w:rPr>
        <w:t xml:space="preserve">. Pour un enfant en situation de handicap, la CCN accorde </w:t>
      </w:r>
      <w:r>
        <w:rPr>
          <w:b/>
          <w:i w:val="0"/>
        </w:rPr>
        <w:t>4 jours supplémentaires</w:t>
      </w:r>
      <w:r>
        <w:rPr>
          <w:b w:val="0"/>
          <w:i w:val="0"/>
        </w:rPr>
        <w:t xml:space="preserve"> à partir d'une carte d'invalidité de 80% : l'accord </w:t>
      </w:r>
      <w:r>
        <w:rPr>
          <w:b/>
          <w:i w:val="0"/>
        </w:rPr>
        <w:t>abaisse ce seuil à 50%</w:t>
      </w:r>
      <w:r>
        <w:rPr>
          <w:b w:val="0"/>
          <w:i w:val="0"/>
        </w:rPr>
        <w:t xml:space="preserve"> pour en bénéficier</w:t>
      </w:r>
    </w:p>
    <w:p>
      <w:pPr>
        <w:pStyle w:val="ListBullet"/>
      </w:pPr>
      <w:r>
        <w:rPr>
          <w:b/>
          <w:i w:val="0"/>
        </w:rPr>
        <w:t>Jours enfants malades CCN quand les 2 parents sont salariés de l'ICO</w:t>
      </w:r>
      <w:r>
        <w:rPr>
          <w:b w:val="0"/>
          <w:i w:val="0"/>
        </w:rPr>
        <w:t xml:space="preserve"> </w:t>
      </w:r>
      <w:r>
        <w:rPr>
          <w:b w:val="0"/>
          <w:i/>
          <w:color w:val="5B6578"/>
        </w:rPr>
        <w:t>(Art. 2.5, CCN art. 2.4.3.5)</w:t>
      </w:r>
      <w:r>
        <w:rPr>
          <w:b w:val="0"/>
          <w:i w:val="0"/>
        </w:rPr>
        <w:t xml:space="preserve"> : dès </w:t>
      </w:r>
      <w:r>
        <w:rPr>
          <w:b/>
          <w:i w:val="0"/>
        </w:rPr>
        <w:t>9 mois d'ancienneté</w:t>
      </w:r>
      <w:r>
        <w:rPr>
          <w:b w:val="0"/>
          <w:i w:val="0"/>
        </w:rPr>
        <w:t xml:space="preserve">, chaque parent a droit à </w:t>
      </w:r>
      <w:r>
        <w:rPr>
          <w:b/>
          <w:i w:val="0"/>
        </w:rPr>
        <w:t>6 jours calendaires</w:t>
      </w:r>
      <w:r>
        <w:rPr>
          <w:b w:val="0"/>
          <w:i w:val="0"/>
        </w:rPr>
        <w:t xml:space="preserve"> en cas d'hospitalisation d'un enfant de moins de 16 ans (20 ans si handicapé), ou </w:t>
      </w:r>
      <w:r>
        <w:rPr>
          <w:b/>
          <w:i w:val="0"/>
        </w:rPr>
        <w:t>4 jours calendaires</w:t>
      </w:r>
      <w:r>
        <w:rPr>
          <w:b w:val="0"/>
          <w:i w:val="0"/>
        </w:rPr>
        <w:t xml:space="preserve"> pour la maladie d'un enfant de moins de 14 ans (20 ans si handicapé) ; si les 2 parents sont salariés de l'ICO, le droit est ouvert à chacun mais </w:t>
      </w:r>
      <w:r>
        <w:rPr>
          <w:b/>
          <w:i w:val="0"/>
        </w:rPr>
        <w:t>sans prise simultanée</w:t>
      </w:r>
      <w:r>
        <w:rPr>
          <w:b w:val="0"/>
          <w:i w:val="0"/>
        </w:rPr>
        <w:t xml:space="preserve">, dans la limite de </w:t>
      </w:r>
      <w:r>
        <w:rPr>
          <w:b/>
          <w:i w:val="0"/>
        </w:rPr>
        <w:t>12 jours par famille et par an</w:t>
      </w:r>
    </w:p>
    <w:p>
      <w:r>
        <w:rPr>
          <w:color w:val="5B6578"/>
          <w:sz w:val="16"/>
        </w:rPr>
        <w:t>────────────────────────────────────────</w:t>
      </w:r>
    </w:p>
    <w:p>
      <w:pPr>
        <w:pStyle w:val="Heading2"/>
      </w:pPr>
      <w:r>
        <w:rPr>
          <w:b w:val="0"/>
          <w:i w:val="0"/>
        </w:rPr>
        <w:t xml:space="preserve">Recrutement </w:t>
      </w:r>
      <w:r>
        <w:rPr>
          <w:b w:val="0"/>
          <w:i/>
          <w:color w:val="5B6578"/>
        </w:rPr>
        <w:t>(Art. 3)</w:t>
      </w:r>
    </w:p>
    <w:p>
      <w:r>
        <w:rPr>
          <w:b w:val="0"/>
          <w:i w:val="0"/>
        </w:rPr>
        <w:t>Toute offre d'emploi rédigée sans stéréotype de genre ; critères de sélection strictement fondés sur les compétences ; mixité visée dans les recrutements externes et la mobilité interne.</w:t>
      </w:r>
    </w:p>
    <w:p>
      <w:r>
        <w:rPr>
          <w:color w:val="5B6578"/>
          <w:sz w:val="16"/>
        </w:rPr>
        <w:t>────────────────────────────────────────</w:t>
      </w:r>
    </w:p>
    <w:p>
      <w:pPr>
        <w:pStyle w:val="Heading2"/>
      </w:pPr>
      <w:r>
        <w:rPr>
          <w:b w:val="0"/>
          <w:i w:val="0"/>
        </w:rPr>
        <w:t xml:space="preserve">Égalité salariale </w:t>
      </w:r>
      <w:r>
        <w:rPr>
          <w:b w:val="0"/>
          <w:i/>
          <w:color w:val="5B6578"/>
        </w:rPr>
        <w:t>(Art. 4)</w:t>
      </w:r>
    </w:p>
    <w:p>
      <w:pPr>
        <w:pStyle w:val="ListBullet"/>
      </w:pPr>
      <w:r>
        <w:rPr>
          <w:b w:val="0"/>
          <w:i w:val="0"/>
        </w:rPr>
        <w:t xml:space="preserve">Maintien de salaire à </w:t>
      </w:r>
      <w:r>
        <w:rPr>
          <w:b/>
          <w:i w:val="0"/>
        </w:rPr>
        <w:t>100% pendant le congé maternité et le congé paternité</w:t>
      </w:r>
      <w:r>
        <w:rPr>
          <w:b w:val="0"/>
          <w:i w:val="0"/>
        </w:rPr>
        <w:t xml:space="preserve"> dès </w:t>
      </w:r>
      <w:r>
        <w:rPr>
          <w:b/>
          <w:i w:val="0"/>
        </w:rPr>
        <w:t>3 mois d'ancienneté</w:t>
      </w:r>
      <w:r>
        <w:rPr>
          <w:b w:val="0"/>
          <w:i w:val="0"/>
        </w:rPr>
        <w:t xml:space="preserve"> (au lieu de 9 mois CCN)</w:t>
      </w:r>
    </w:p>
    <w:p>
      <w:pPr>
        <w:pStyle w:val="ListBullet"/>
      </w:pPr>
      <w:r>
        <w:rPr>
          <w:b w:val="0"/>
          <w:i w:val="0"/>
        </w:rPr>
        <w:t xml:space="preserve">Les salariées en congé maternité se voient attribuer le </w:t>
      </w:r>
      <w:r>
        <w:rPr>
          <w:b/>
          <w:i w:val="0"/>
        </w:rPr>
        <w:t>montant moyen de la BIC</w:t>
      </w:r>
    </w:p>
    <w:p>
      <w:r>
        <w:rPr>
          <w:color w:val="5B6578"/>
          <w:sz w:val="16"/>
        </w:rPr>
        <w:t>────────────────────────────────────────</w:t>
      </w:r>
    </w:p>
    <w:p>
      <w:pPr>
        <w:pStyle w:val="Heading2"/>
      </w:pPr>
      <w:r>
        <w:rPr>
          <w:b w:val="0"/>
          <w:i w:val="0"/>
        </w:rPr>
        <w:t xml:space="preserve">Conditions de travail </w:t>
      </w:r>
      <w:r>
        <w:rPr>
          <w:b w:val="0"/>
          <w:i/>
          <w:color w:val="5B6578"/>
        </w:rPr>
        <w:t>(Art. 7)</w:t>
      </w:r>
    </w:p>
    <w:p>
      <w:pPr>
        <w:pStyle w:val="ListBullet"/>
      </w:pPr>
      <w:r>
        <w:rPr>
          <w:b/>
          <w:i w:val="0"/>
        </w:rPr>
        <w:t>Heures de grossesse</w:t>
      </w:r>
      <w:r>
        <w:rPr>
          <w:b w:val="0"/>
          <w:i w:val="0"/>
        </w:rPr>
        <w:t xml:space="preserve"> : 1h de réduction par jour à partir du 3e mois de grossesse, avec 3 modalités possibles selon le service (par heure quotidienne, en journées cumulées, ou en journées anticipées)</w:t>
      </w:r>
    </w:p>
    <w:p>
      <w:pPr>
        <w:pStyle w:val="ListBullet"/>
      </w:pPr>
      <w:r>
        <w:rPr>
          <w:b/>
          <w:i w:val="0"/>
        </w:rPr>
        <w:t>Allaitement</w:t>
      </w:r>
      <w:r>
        <w:rPr>
          <w:b w:val="0"/>
          <w:i w:val="0"/>
        </w:rPr>
        <w:t xml:space="preserve"> : lieu dédié mis à disposition ; absence au poste organisée par le responsable de service</w:t>
      </w:r>
    </w:p>
    <w:p>
      <w:pPr>
        <w:pStyle w:val="ListBullet"/>
      </w:pPr>
      <w:r>
        <w:rPr>
          <w:b/>
          <w:i w:val="0"/>
        </w:rPr>
        <w:t>Temps partiel</w:t>
      </w:r>
      <w:r>
        <w:rPr>
          <w:b w:val="0"/>
          <w:i w:val="0"/>
        </w:rPr>
        <w:t xml:space="preserve"> : égalité d'accès entre femmes et hommes, suivi annuel</w:t>
      </w:r>
    </w:p>
    <w:p>
      <w:pPr>
        <w:pStyle w:val="ListBullet"/>
      </w:pPr>
      <w:r>
        <w:rPr>
          <w:b/>
          <w:i w:val="0"/>
        </w:rPr>
        <w:t>Congé de parentalité pour couples homoparentaux</w:t>
      </w:r>
      <w:r>
        <w:rPr>
          <w:b w:val="0"/>
          <w:i w:val="0"/>
        </w:rPr>
        <w:t xml:space="preserve"> </w:t>
      </w:r>
      <w:r>
        <w:rPr>
          <w:b w:val="0"/>
          <w:i/>
          <w:color w:val="5B6578"/>
        </w:rPr>
        <w:t>(Art. 7.4)</w:t>
      </w:r>
      <w:r>
        <w:rPr>
          <w:b w:val="0"/>
          <w:i w:val="0"/>
        </w:rPr>
        <w:t xml:space="preserve"> : </w:t>
      </w:r>
      <w:r>
        <w:rPr>
          <w:b/>
          <w:i w:val="0"/>
        </w:rPr>
        <w:t>25 jours calendaires rémunérés</w:t>
      </w:r>
      <w:r>
        <w:rPr>
          <w:b w:val="0"/>
          <w:i w:val="0"/>
        </w:rPr>
        <w:t xml:space="preserve">, salaire maintenu, accordés au salarié en CDI dont le/la partenaire ne peut bénéficier d'un congé maternité. Si les 2 membres du couple sont salariés de l'ICO, le congé n'est accordé qu'à l'un des deux. À demander par écrit (avec justificatifs) </w:t>
      </w:r>
      <w:r>
        <w:rPr>
          <w:b/>
          <w:i w:val="0"/>
        </w:rPr>
        <w:t>un mois avant</w:t>
      </w:r>
      <w:r>
        <w:rPr>
          <w:b w:val="0"/>
          <w:i w:val="0"/>
        </w:rPr>
        <w:t xml:space="preserve"> la prise du congé, qui doit intervenir dans les </w:t>
      </w:r>
      <w:r>
        <w:rPr>
          <w:b/>
          <w:i w:val="0"/>
        </w:rPr>
        <w:t>6 mois suivant l'arrivée de l'enfant</w:t>
      </w:r>
      <w:r>
        <w:rPr>
          <w:b w:val="0"/>
          <w:i w:val="0"/>
        </w:rPr>
        <w:t>. Ce congé n'a pas d'impact sur le calcul de l'ancienneté</w:t>
      </w:r>
    </w:p>
    <w:p>
      <w:r>
        <w:rPr>
          <w:color w:val="5B6578"/>
          <w:sz w:val="16"/>
        </w:rPr>
        <w:t>────────────────────────────────────────</w:t>
      </w:r>
    </w:p>
    <w:p>
      <w:pPr>
        <w:pStyle w:val="Heading2"/>
      </w:pPr>
      <w:r>
        <w:rPr>
          <w:b w:val="0"/>
          <w:i w:val="0"/>
        </w:rPr>
        <w:t xml:space="preserve">Lutte contre les violences domestiques </w:t>
      </w:r>
      <w:r>
        <w:rPr>
          <w:b w:val="0"/>
          <w:i/>
          <w:color w:val="5B6578"/>
        </w:rPr>
        <w:t>(Art. 8)</w:t>
      </w:r>
    </w:p>
    <w:p>
      <w:pPr>
        <w:pStyle w:val="ListBullet"/>
      </w:pPr>
      <w:r>
        <w:rPr>
          <w:b/>
          <w:i w:val="0"/>
        </w:rPr>
        <w:t>6 référents</w:t>
      </w:r>
      <w:r>
        <w:rPr>
          <w:b w:val="0"/>
          <w:i w:val="0"/>
        </w:rPr>
        <w:t xml:space="preserve"> désignés parmi les élus CSE Central (3 par site) d'ici le </w:t>
      </w:r>
      <w:r>
        <w:rPr>
          <w:b/>
          <w:i w:val="0"/>
        </w:rPr>
        <w:t>31 juillet 2026</w:t>
      </w:r>
      <w:r>
        <w:rPr>
          <w:b w:val="0"/>
          <w:i w:val="0"/>
        </w:rPr>
        <w:t xml:space="preserve">, puis formés d'ici le </w:t>
      </w:r>
      <w:r>
        <w:rPr>
          <w:b/>
          <w:i w:val="0"/>
        </w:rPr>
        <w:t>31 décembre 2026</w:t>
      </w:r>
      <w:r>
        <w:rPr>
          <w:b w:val="0"/>
          <w:i w:val="0"/>
        </w:rPr>
        <w:t>, astreints à la confidentialité</w:t>
      </w:r>
    </w:p>
    <w:p>
      <w:pPr>
        <w:pStyle w:val="ListBullet"/>
      </w:pPr>
      <w:r>
        <w:rPr>
          <w:b/>
          <w:i w:val="0"/>
        </w:rPr>
        <w:t>Réseau partenaires</w:t>
      </w:r>
      <w:r>
        <w:rPr>
          <w:b w:val="0"/>
          <w:i w:val="0"/>
        </w:rPr>
        <w:t xml:space="preserve"> (assistance sociale, logement, juridique) constitué avant fin 2026</w:t>
      </w:r>
    </w:p>
    <w:p>
      <w:pPr>
        <w:pStyle w:val="ListBullet"/>
      </w:pPr>
      <w:r>
        <w:rPr>
          <w:b/>
          <w:i w:val="0"/>
        </w:rPr>
        <w:t>Temps d'audition</w:t>
      </w:r>
      <w:r>
        <w:rPr>
          <w:b w:val="0"/>
          <w:i w:val="0"/>
        </w:rPr>
        <w:t xml:space="preserve"> convoqué par les forces de l'ordre pendant le temps de travail : compté comme temps de travail effectif</w:t>
      </w:r>
    </w:p>
    <w:p>
      <w:pPr>
        <w:pStyle w:val="ListBullet"/>
      </w:pPr>
      <w:r>
        <w:rPr>
          <w:b w:val="0"/>
          <w:i w:val="0"/>
        </w:rPr>
        <w:t>Formation de l'ensemble des managers à la détection des violences domestiques d'ici fin 2028</w:t>
      </w:r>
    </w:p>
    <w:p>
      <w:r>
        <w:rPr>
          <w:color w:val="5B6578"/>
          <w:sz w:val="16"/>
        </w:rPr>
        <w:t>────────────────────────────────────────</w:t>
      </w:r>
    </w:p>
    <w:p>
      <w:pPr>
        <w:pStyle w:val="Heading2"/>
      </w:pPr>
      <w:r>
        <w:rPr>
          <w:b w:val="0"/>
          <w:i w:val="0"/>
        </w:rPr>
        <w:t xml:space="preserve">Suivi de l'accord </w:t>
      </w:r>
      <w:r>
        <w:rPr>
          <w:b w:val="0"/>
          <w:i/>
          <w:color w:val="5B6578"/>
        </w:rPr>
        <w:t>(Art. 8 — Dispositions finales, et Art. 8.2.4)</w:t>
      </w:r>
    </w:p>
    <w:p>
      <w:pPr>
        <w:pStyle w:val="ListBullet"/>
      </w:pPr>
      <w:r>
        <w:rPr>
          <w:b/>
          <w:i w:val="0"/>
        </w:rPr>
        <w:t>Bilan annuel</w:t>
      </w:r>
      <w:r>
        <w:rPr>
          <w:b w:val="0"/>
          <w:i w:val="0"/>
        </w:rPr>
        <w:t xml:space="preserve"> : un bilan quantitatif et qualitatif de l'application de l'accord est présenté une fois par an au </w:t>
      </w:r>
      <w:r>
        <w:rPr>
          <w:b/>
          <w:i w:val="0"/>
        </w:rPr>
        <w:t>CSE central</w:t>
      </w:r>
    </w:p>
    <w:p>
      <w:pPr>
        <w:pStyle w:val="ListBullet"/>
      </w:pPr>
      <w:r>
        <w:rPr>
          <w:b/>
          <w:i w:val="0"/>
        </w:rPr>
        <w:t>Clause de revoyure</w:t>
      </w:r>
      <w:r>
        <w:rPr>
          <w:b w:val="0"/>
          <w:i w:val="0"/>
        </w:rPr>
        <w:t xml:space="preserve"> : réunion de revoyure prévue au terme de la première année d'application pour envisager une éventuelle adaptation</w:t>
      </w:r>
    </w:p>
    <w:p>
      <w:pPr>
        <w:pStyle w:val="ListBullet"/>
      </w:pPr>
      <w:r>
        <w:rPr>
          <w:b/>
          <w:i w:val="0"/>
        </w:rPr>
        <w:t>Suivi spécifique des violences domestiques</w:t>
      </w:r>
      <w:r>
        <w:rPr>
          <w:b w:val="0"/>
          <w:i w:val="0"/>
        </w:rPr>
        <w:t xml:space="preserve"> </w:t>
      </w:r>
      <w:r>
        <w:rPr>
          <w:b w:val="0"/>
          <w:i/>
          <w:color w:val="5B6578"/>
        </w:rPr>
        <w:t>(Art. 8.2.4)</w:t>
      </w:r>
      <w:r>
        <w:rPr>
          <w:b w:val="0"/>
          <w:i w:val="0"/>
        </w:rPr>
        <w:t xml:space="preserve"> : un état statistique des situations rencontrées et un exposé des réponses apportées sont présentés annuellement en </w:t>
      </w:r>
      <w:r>
        <w:rPr>
          <w:b/>
          <w:i w:val="0"/>
        </w:rPr>
        <w:t>commission Formation Égalité FH</w:t>
      </w:r>
    </w:p>
    <w:p>
      <w:r>
        <w:rPr>
          <w:color w:val="5B6578"/>
          <w:sz w:val="16"/>
        </w:rPr>
        <w:t>────────────────────────────────────────</w:t>
      </w:r>
    </w:p>
    <w:p>
      <w:r>
        <w:rPr>
          <w:b w:val="0"/>
          <w:i/>
          <w:color w:val="5B6578"/>
        </w:rPr>
        <w:t>Source : Accord égalité professionnelle F/H (29/05/2026), signé CGT-FO, Sud Santé-Sociaux, CFE-CGC.</w:t>
      </w:r>
    </w:p>
    <w:p>
      <w:r>
        <w:rPr>
          <w:b w:val="0"/>
          <w:i/>
          <w:color w:val="5B6578"/>
        </w:rPr>
        <w:t xml:space="preserve">Les références entre parenthèses renvoient aux articles de l'accord. Seul le texte intégral fait référence : </w:t>
      </w:r>
      <w:r>
        <w:rPr>
          <w:b w:val="0"/>
          <w:i/>
          <w:color w:val="5B6578"/>
        </w:rPr>
        <w:t>accord complet (PDF)</w:t>
      </w:r>
      <w:r>
        <w:rPr>
          <w:b w:val="0"/>
          <w:i/>
          <w:color w:val="5B657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