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PERCOL (épargne retraite collective)</w:t>
      </w:r>
    </w:p>
    <w:p>
      <w:pPr>
        <w:pStyle w:val="Heading1"/>
      </w:pPr>
      <w:r>
        <w:rPr>
          <w:b w:val="0"/>
          <w:i w:val="0"/>
        </w:rPr>
        <w:t>Plan d'Épargne Retraite Collectif (PERCOL)</w:t>
      </w:r>
    </w:p>
    <w:p>
      <w:r>
        <w:rPr>
          <w:b/>
          <w:i w:val="0"/>
        </w:rPr>
        <w:t>Le contexte en bref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(Préambule)</w:t>
      </w:r>
    </w:p>
    <w:p>
      <w:r>
        <w:rPr>
          <w:b w:val="0"/>
          <w:i w:val="0"/>
        </w:rPr>
        <w:t>Un plan d'épargne retraite d'entreprise, régi par le Code monétaire et financier, ouvert à tous les salariés.</w:t>
      </w:r>
    </w:p>
    <w:p>
      <w:r>
        <w:rPr>
          <w:b/>
          <w:i w:val="0"/>
        </w:rPr>
        <w:t>Qui peut y adhérer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(les stages de plus de 2 mois comptent dans ce délai s'ils débouchent sur une embauche ; les périodes de suspension du contrat ne sont pas déduites de ce calcul d'ancienneté). Si vous quittez l'ICO, vous pouvez continuer à verser, sans abondement et avec les frais de gestion à votre charge exclusive, tant que vous n'avez pas accès à un autre PERCOL chez votre nouvel employeur </w:t>
      </w:r>
      <w:r>
        <w:rPr>
          <w:b w:val="0"/>
          <w:i/>
          <w:color w:val="5B6578"/>
        </w:rPr>
        <w:t>(Art. 1)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Comment l'alimenter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Vos versements volontaires (déductibles de votre revenu imposable, sauf si vous y renoncez expressément)</w:t>
      </w:r>
    </w:p>
    <w:p>
      <w:pPr>
        <w:pStyle w:val="ListBullet"/>
      </w:pPr>
      <w:r>
        <w:rPr>
          <w:b w:val="0"/>
          <w:i w:val="0"/>
        </w:rPr>
        <w:t>Les sommes issues de l'</w:t>
      </w:r>
      <w:r>
        <w:rPr>
          <w:b/>
          <w:i w:val="0"/>
        </w:rPr>
        <w:t>intéressement</w:t>
      </w:r>
    </w:p>
    <w:p>
      <w:pPr>
        <w:pStyle w:val="ListBullet"/>
      </w:pPr>
      <w:r>
        <w:rPr>
          <w:b w:val="0"/>
          <w:i w:val="0"/>
        </w:rPr>
        <w:t xml:space="preserve">Vos droits du </w:t>
      </w:r>
      <w:r>
        <w:rPr>
          <w:b/>
          <w:i w:val="0"/>
        </w:rPr>
        <w:t>CET, dans la limite de 10 jours/an</w:t>
      </w:r>
    </w:p>
    <w:p>
      <w:pPr>
        <w:pStyle w:val="ListBullet"/>
      </w:pPr>
      <w:r>
        <w:rPr>
          <w:b/>
          <w:i w:val="0"/>
        </w:rPr>
        <w:t>L'abondement de l'ICO</w:t>
      </w:r>
      <w:r>
        <w:rPr>
          <w:b w:val="0"/>
          <w:i w:val="0"/>
        </w:rPr>
        <w:t xml:space="preserve"> : </w:t>
      </w:r>
      <w:r>
        <w:rPr>
          <w:b/>
          <w:i w:val="0"/>
        </w:rPr>
        <w:t>15 % des montants que vous transférez depuis le CET</w:t>
      </w:r>
      <w:r>
        <w:rPr>
          <w:b w:val="0"/>
          <w:i w:val="0"/>
        </w:rPr>
        <w:t xml:space="preserve"> — plafonné au triple de vos versements et au plafond légal en vigueur (16 % du PASS, soit 6 581,76 € en 2020)</w:t>
      </w:r>
    </w:p>
    <w:p>
      <w:pPr>
        <w:pStyle w:val="ListBullet"/>
      </w:pPr>
      <w:r>
        <w:rPr>
          <w:b w:val="0"/>
          <w:i w:val="0"/>
        </w:rPr>
        <w:t>Des transferts depuis d'autres plans d'épargne retraite</w:t>
      </w:r>
    </w:p>
    <w:p>
      <w:r>
        <w:rPr>
          <w:b/>
          <w:i w:val="0"/>
        </w:rPr>
        <w:t>Comment votre épargne est gérée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Par défaut, vous êtes en </w:t>
      </w:r>
      <w:r>
        <w:rPr>
          <w:b/>
          <w:i w:val="0"/>
        </w:rPr>
        <w:t>gestion pilotée</w:t>
      </w:r>
      <w:r>
        <w:rPr>
          <w:b w:val="0"/>
          <w:i w:val="0"/>
        </w:rPr>
        <w:t xml:space="preserve"> (profil "équilibré horizon retraite", qui réduit progressivement le risque à l'approche de votre retraite) si vous ne faites pas de choix explicite. Vous pouvez changer de mode de gestion à tout moment.</w:t>
      </w:r>
    </w:p>
    <w:p>
      <w:r>
        <w:rPr>
          <w:b/>
          <w:i w:val="0"/>
        </w:rPr>
        <w:t>Quand récupérer votre épargne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À l'échéance normale</w:t>
      </w:r>
      <w:r>
        <w:rPr>
          <w:b w:val="0"/>
          <w:i w:val="0"/>
        </w:rPr>
        <w:t xml:space="preserve"> : à votre départ à la retraite (liquidation de la pension), avec une possibilité de sortie en rente viagère via un contrat BPCE Vie</w:t>
      </w:r>
    </w:p>
    <w:p>
      <w:pPr>
        <w:pStyle w:val="ListBullet"/>
      </w:pPr>
      <w:r>
        <w:rPr>
          <w:b/>
          <w:i w:val="0"/>
        </w:rPr>
        <w:t>Un déblocage anticipé reste possible</w:t>
      </w:r>
      <w:r>
        <w:rPr>
          <w:b w:val="0"/>
          <w:i w:val="0"/>
        </w:rPr>
        <w:t xml:space="preserve"> (versement unique), si : décès de votre conjoint/partenaire de PACS, invalidité (la vôtre, celle de vos enfants, de votre conjoint/partenaire), surendettement, fin de droits au chômage, cessation d'activité non salariée suite à liquidation judiciaire, </w:t>
      </w:r>
      <w:r>
        <w:rPr>
          <w:b/>
          <w:i w:val="0"/>
        </w:rPr>
        <w:t>achat de votre résidence principale</w:t>
      </w:r>
      <w:r>
        <w:rPr>
          <w:b w:val="0"/>
          <w:i w:val="0"/>
        </w:rPr>
        <w:t xml:space="preserve"> (demande à faire dans les 6 mois suivant l'événement pour ce dernier motif)</w:t>
      </w:r>
    </w:p>
    <w:p>
      <w:pPr>
        <w:pStyle w:val="ListBullet"/>
      </w:pPr>
      <w:r>
        <w:rPr>
          <w:b w:val="0"/>
          <w:i w:val="0"/>
        </w:rPr>
        <w:t>Votre décès avant l'échéance entraîne la clôture du Plan</w:t>
      </w:r>
    </w:p>
    <w:p>
      <w:r>
        <w:rPr>
          <w:b/>
          <w:i w:val="0"/>
        </w:rPr>
        <w:t>Si vous quittez l'ICO (une fois le PERCOL ouvert)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9)</w:t>
      </w:r>
    </w:p>
    <w:p>
      <w:pPr>
        <w:pStyle w:val="ListBullet"/>
      </w:pPr>
      <w:r>
        <w:rPr>
          <w:b w:val="0"/>
          <w:i w:val="0"/>
        </w:rPr>
        <w:t>Vous recevez un état récapitulatif de toutes vos sommes épargnées</w:t>
      </w:r>
    </w:p>
    <w:p>
      <w:pPr>
        <w:pStyle w:val="ListBullet"/>
      </w:pPr>
      <w:r>
        <w:rPr>
          <w:b w:val="0"/>
          <w:i w:val="0"/>
        </w:rPr>
        <w:t xml:space="preserve">Vous pouvez </w:t>
      </w:r>
      <w:r>
        <w:rPr>
          <w:b/>
          <w:i w:val="0"/>
        </w:rPr>
        <w:t>conserver vos avoirs</w:t>
      </w:r>
      <w:r>
        <w:rPr>
          <w:b w:val="0"/>
          <w:i w:val="0"/>
        </w:rPr>
        <w:t xml:space="preserve"> dans le Plan — mais les frais de tenue de compte vous seront alors facturés par prélèvement sur vos avoirs</w:t>
      </w:r>
    </w:p>
    <w:p>
      <w:pPr>
        <w:pStyle w:val="ListBullet"/>
      </w:pPr>
      <w:r>
        <w:rPr>
          <w:b w:val="0"/>
          <w:i w:val="0"/>
        </w:rPr>
        <w:t xml:space="preserve">Vous pouvez aussi demander le </w:t>
      </w:r>
      <w:r>
        <w:rPr>
          <w:b/>
          <w:i w:val="0"/>
        </w:rPr>
        <w:t>transfert</w:t>
      </w:r>
      <w:r>
        <w:rPr>
          <w:b w:val="0"/>
          <w:i w:val="0"/>
        </w:rPr>
        <w:t xml:space="preserve"> de vos sommes vers un autre plan d'épargne retraite (nouvelle entreprise), ce qui clôture votre compte dans le Plan de l'ICO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19 mars 2021</w:t>
      </w:r>
      <w:r>
        <w:rPr>
          <w:b w:val="0"/>
          <w:i w:val="0"/>
        </w:rPr>
        <w:t>, durée indéterminée, prend effet à compter du dépôt.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(David Di Peri), </w:t>
      </w:r>
      <w:r>
        <w:rPr>
          <w:b/>
          <w:i w:val="0"/>
        </w:rPr>
        <w:t>Sud Santé-Sociaux</w:t>
      </w:r>
      <w:r>
        <w:rPr>
          <w:b w:val="0"/>
          <w:i w:val="0"/>
        </w:rPr>
        <w:t xml:space="preserve"> (Isabelle Fouillet), </w:t>
      </w:r>
      <w:r>
        <w:rPr>
          <w:b/>
          <w:i w:val="0"/>
        </w:rPr>
        <w:t>CFDT</w:t>
      </w:r>
      <w:r>
        <w:rPr>
          <w:b w:val="0"/>
          <w:i w:val="0"/>
        </w:rPr>
        <w:t xml:space="preserve"> (Corinne Lanio),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(Geneviève Perrocheau) — les 4 organisations ont signé.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Gouvernance par les conseils de surveillance des FCPE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8)</w:t>
      </w:r>
      <w:r>
        <w:rPr>
          <w:b w:val="0"/>
          <w:i w:val="0"/>
        </w:rPr>
        <w:t xml:space="preserve"> : chaque FCPE du Plan dispose d'un conseil de surveillance chargé de l'examen de sa gestion financière, administrative et comptable. Il se réunit </w:t>
      </w:r>
      <w:r>
        <w:rPr>
          <w:b/>
          <w:i w:val="0"/>
        </w:rPr>
        <w:t>au moins une fois par an</w:t>
      </w:r>
      <w:r>
        <w:rPr>
          <w:b w:val="0"/>
          <w:i w:val="0"/>
        </w:rPr>
        <w:t xml:space="preserve"> pour examiner le </w:t>
      </w:r>
      <w:r>
        <w:rPr>
          <w:b/>
          <w:i w:val="0"/>
        </w:rPr>
        <w:t>rapport annuel de gestion</w:t>
      </w:r>
      <w:r>
        <w:rPr>
          <w:b w:val="0"/>
          <w:i w:val="0"/>
        </w:rPr>
        <w:t>, et décide des fusions, scissions ou liquidations. Les membres salariés y sont désignés par les organisations syndicales représentatives.</w:t>
      </w:r>
    </w:p>
    <w:p>
      <w:pPr>
        <w:pStyle w:val="ListBullet"/>
      </w:pPr>
      <w:r>
        <w:rPr>
          <w:b/>
          <w:i w:val="0"/>
        </w:rPr>
        <w:t>Information périodique du personnel et des titulaires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7)</w:t>
      </w:r>
      <w:r>
        <w:rPr>
          <w:b w:val="0"/>
          <w:i w:val="0"/>
        </w:rPr>
        <w:t xml:space="preserve"> : l'ICO informe le personnel de l'existence et du contenu du Plan, et communique immédiatement toute modification. Le gestionnaire adresse chaque année à chaque titulaire une information sur son épargne accumulée, et une information détaillée (performances, frais) avant l'ouverture du Plan puis actualisée chaque année.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10)</w:t>
      </w:r>
      <w:r>
        <w:rPr>
          <w:b w:val="0"/>
          <w:i w:val="0"/>
        </w:rPr>
        <w:t xml:space="preserve"> : toute modification du règlement du Plan fait l'objet d'un avenant conclu dans les mêmes formes que le règlement initial, déposé à la DIRECCTE.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6)</w:t>
      </w:r>
      <w:r>
        <w:rPr>
          <w:b w:val="0"/>
          <w:i w:val="0"/>
        </w:rPr>
        <w:t xml:space="preserve"> : Plan conclu pour une durée indéterminée ; il peut être dénoncé à tout moment avec un préavis de 3 mois, notifié à la DIRECCTE et, le cas échéant, aux partenaires sociaux.</w:t>
      </w:r>
    </w:p>
    <w:p>
      <w:pPr>
        <w:pStyle w:val="ListBullet"/>
      </w:pPr>
      <w:r>
        <w:rPr>
          <w:b/>
          <w:i w:val="0"/>
        </w:rPr>
        <w:t>Règlement amiable des litiges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11)</w:t>
      </w:r>
      <w:r>
        <w:rPr>
          <w:b w:val="0"/>
          <w:i w:val="0"/>
        </w:rPr>
        <w:t xml:space="preserve"> : avant de saisir les tribunaux, la direction et les titulaires du Plan s'efforcent de résoudre les différends à l'amiable au sein de l'Entreprise.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accord-percol-2021.md</w:t>
      </w:r>
      <w:r>
        <w:rPr>
          <w:b w:val="0"/>
          <w:i/>
          <w:color w:val="5B6578"/>
        </w:rPr>
        <w:t xml:space="preserve"> (19/03/2021). Rappel : le PERCOL est aussi l'une des 3 options de placement possibles pour l'intéressement (voir résumé Intéressement).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