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Prevoyance AXA (deces, incapacite, invalidite) - Non cadre</w:t>
      </w:r>
    </w:p>
    <w:p>
      <w:pPr>
        <w:pStyle w:val="Heading1"/>
      </w:pPr>
      <w:r>
        <w:rPr>
          <w:b w:val="0"/>
          <w:i w:val="0"/>
        </w:rPr>
        <w:t>Prévoyance d'entreprise — AXA (décès, incapacité, invalidité)</w:t>
      </w:r>
    </w:p>
    <w:p>
      <w:r>
        <w:rPr>
          <w:b w:val="0"/>
          <w:i/>
          <w:color w:val="5B6578"/>
        </w:rPr>
        <w:t>Contrat collectif d'assurance de prévoyance, souscrit par l'ICO auprès d'AXA France Vie. Ce n'est pas un accord négocié : il n'y a pas de signataire syndical, c'est un contrat entre l'ICO et l'assureur.</w:t>
      </w:r>
      <w:r>
        <w:rPr>
          <w:b w:val="0"/>
          <w:i w:val="0"/>
        </w:rPr>
        <w:t xml:space="preserve"> </w:t>
      </w:r>
      <w:r>
        <w:rPr>
          <w:b w:val="0"/>
          <w:i/>
          <w:color w:val="5B6578"/>
        </w:rPr>
        <w:t>Notices d'information du 23 novembre 2015, effet au 1er janvier 2016. Deux contrats distincts (un pour les cadres, un pour les non cadres), aux garanties identiques — seul le groupe assuré change.</w:t>
      </w:r>
    </w:p>
    <w:p>
      <w:r>
        <w:rPr>
          <w:color w:val="5B6578"/>
          <w:sz w:val="16"/>
        </w:rPr>
        <w:t>────────────────────────────────────────</w:t>
      </w:r>
    </w:p>
    <w:p>
      <w:pPr>
        <w:pStyle w:val="Heading2"/>
      </w:pPr>
      <w:r>
        <w:rPr>
          <w:b w:val="0"/>
          <w:i w:val="0"/>
        </w:rPr>
        <w:t xml:space="preserve">Qui est concerné </w:t>
      </w:r>
      <w:r>
        <w:rPr>
          <w:b w:val="0"/>
          <w:i/>
          <w:color w:val="5B6578"/>
        </w:rPr>
        <w:t>(notices d'information)</w:t>
      </w:r>
    </w:p>
    <w:p>
      <w:r>
        <w:rPr>
          <w:b/>
          <w:i w:val="0"/>
        </w:rPr>
        <w:t>Les salariés de l'ICO, cadres et non cadres</w:t>
      </w:r>
      <w:r>
        <w:rPr>
          <w:b w:val="0"/>
          <w:i w:val="0"/>
        </w:rPr>
        <w:t>, via deux contrats administrativement séparés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Non cadres</w:t>
            </w:r>
          </w:p>
        </w:tc>
        <w:tc>
          <w:tcPr>
            <w:tcW w:type="dxa" w:w="2880"/>
          </w:tcPr>
          <w:p>
            <w:r/>
            <w:r>
              <w:rPr>
                <w:b/>
              </w:rPr>
              <w:t>Cadres</w:t>
            </w:r>
          </w:p>
        </w:tc>
      </w:tr>
      <w:tr>
        <w:tc>
          <w:tcPr>
            <w:tcW w:type="dxa" w:w="2880"/>
          </w:tcPr>
          <w:p>
            <w:r/>
            <w:r>
              <w:rPr>
                <w:b w:val="0"/>
              </w:rPr>
              <w:t>N° de contrat</w:t>
            </w:r>
          </w:p>
        </w:tc>
        <w:tc>
          <w:tcPr>
            <w:tcW w:type="dxa" w:w="2880"/>
          </w:tcPr>
          <w:p>
            <w:r/>
            <w:r>
              <w:rPr>
                <w:b w:val="0"/>
              </w:rPr>
              <w:t>2257604120000Q</w:t>
            </w:r>
          </w:p>
        </w:tc>
        <w:tc>
          <w:tcPr>
            <w:tcW w:type="dxa" w:w="2880"/>
          </w:tcPr>
          <w:p>
            <w:r/>
            <w:r>
              <w:rPr>
                <w:b w:val="0"/>
              </w:rPr>
              <w:t>2257604110000Q</w:t>
            </w:r>
          </w:p>
        </w:tc>
      </w:tr>
      <w:tr>
        <w:tc>
          <w:tcPr>
            <w:tcW w:type="dxa" w:w="2880"/>
          </w:tcPr>
          <w:p>
            <w:r/>
            <w:r>
              <w:rPr>
                <w:b w:val="0"/>
              </w:rPr>
              <w:t>Groupe assuré</w:t>
            </w:r>
          </w:p>
        </w:tc>
        <w:tc>
          <w:tcPr>
            <w:tcW w:type="dxa" w:w="2880"/>
          </w:tcPr>
          <w:p>
            <w:r/>
            <w:r>
              <w:rPr>
                <w:b w:val="0"/>
              </w:rPr>
              <w:t>Ensemble des non cadres, selon la définition du dispositif d'entreprise</w:t>
            </w:r>
          </w:p>
        </w:tc>
        <w:tc>
          <w:tcPr>
            <w:tcW w:type="dxa" w:w="2880"/>
          </w:tcPr>
          <w:p>
            <w:r/>
            <w:r>
              <w:rPr>
                <w:b w:val="0"/>
              </w:rPr>
              <w:t>Ensemble des cadres, selon la définition du dispositif d'entreprise</w:t>
            </w:r>
          </w:p>
        </w:tc>
      </w:tr>
    </w:tbl>
    <w:p/>
    <w:p>
      <w:r>
        <w:rPr>
          <w:b/>
          <w:i w:val="0"/>
        </w:rPr>
        <w:t>Les garanties (montants, conditions, exclusions) sont identiques pour les deux groupes</w:t>
      </w:r>
      <w:r>
        <w:rPr>
          <w:b w:val="0"/>
          <w:i w:val="0"/>
        </w:rPr>
        <w:t xml:space="preserve"> (comparaison page par page des deux notices). Seuls le numéro de contrat et le groupe assuré diffèrent. Les notices ne précisent pas quelles catégories de personnel entrent dans chaque groupe : cette définition relève du dispositif d'entreprise.</w:t>
      </w:r>
    </w:p>
    <w:p>
      <w:r>
        <w:rPr>
          <w:b w:val="0"/>
          <w:i w:val="0"/>
        </w:rPr>
        <w:t>Pour en bénéficier, vous devez : appartenir au groupe assuré, être affilié à un régime obligatoire de Sécurité sociale, et avoir un contrat de travail en vigueur. Si votre contrat est suspendu pour maladie, maternité, paternité ou accident (indemnisé ou non par l'employeur), vous restez couvert ; pour les autres cas de suspension non indemnisée, la garantie Arrêt de travail est suspendue.</w:t>
      </w:r>
    </w:p>
    <w:p>
      <w:r>
        <w:rPr>
          <w:color w:val="5B6578"/>
          <w:sz w:val="16"/>
        </w:rPr>
        <w:t>────────────────────────────────────────</w:t>
      </w:r>
    </w:p>
    <w:p>
      <w:pPr>
        <w:pStyle w:val="Heading2"/>
      </w:pPr>
      <w:r>
        <w:rPr>
          <w:b w:val="0"/>
          <w:i w:val="0"/>
        </w:rPr>
        <w:t>La garantie Décès</w:t>
      </w:r>
    </w:p>
    <w:p>
      <w:r>
        <w:rPr>
          <w:b w:val="0"/>
          <w:i/>
          <w:color w:val="5B6578"/>
        </w:rPr>
        <w:t>(montants exprimés en % de votre salaire annuel brut — voir « Base de calcul » ci-dessous)</w:t>
      </w:r>
    </w:p>
    <w:p>
      <w:r>
        <w:rPr>
          <w:b w:val="0"/>
          <w:i w:val="0"/>
        </w:rPr>
        <w:t>Vos bénéficiaires choisissent entre 3 options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Célibataire/veuf/divorcé, sans enfant</w:t>
            </w:r>
          </w:p>
        </w:tc>
        <w:tc>
          <w:tcPr>
            <w:tcW w:type="dxa" w:w="2160"/>
          </w:tcPr>
          <w:p>
            <w:r/>
            <w:r>
              <w:rPr>
                <w:b/>
              </w:rPr>
              <w:t>Marié/pacsé/concubin, sans enfant</w:t>
            </w:r>
          </w:p>
        </w:tc>
        <w:tc>
          <w:tcPr>
            <w:tcW w:type="dxa" w:w="2160"/>
          </w:tcPr>
          <w:p>
            <w:r/>
            <w:r>
              <w:rPr>
                <w:b/>
              </w:rPr>
              <w:t>Avec enfant(s) à charge</w:t>
            </w:r>
          </w:p>
        </w:tc>
      </w:tr>
      <w:tr>
        <w:tc>
          <w:tcPr>
            <w:tcW w:type="dxa" w:w="2160"/>
          </w:tcPr>
          <w:p>
            <w:r/>
            <w:r>
              <w:rPr>
                <w:b w:val="0"/>
              </w:rPr>
              <w:t>Option 1 — Capital</w:t>
            </w:r>
          </w:p>
        </w:tc>
        <w:tc>
          <w:tcPr>
            <w:tcW w:type="dxa" w:w="2160"/>
          </w:tcPr>
          <w:p>
            <w:r/>
            <w:r>
              <w:rPr>
                <w:b w:val="0"/>
              </w:rPr>
              <w:t>250 %</w:t>
            </w:r>
          </w:p>
        </w:tc>
        <w:tc>
          <w:tcPr>
            <w:tcW w:type="dxa" w:w="2160"/>
          </w:tcPr>
          <w:p>
            <w:r/>
            <w:r>
              <w:rPr>
                <w:b w:val="0"/>
              </w:rPr>
              <w:t>250 %</w:t>
            </w:r>
          </w:p>
        </w:tc>
        <w:tc>
          <w:tcPr>
            <w:tcW w:type="dxa" w:w="2160"/>
          </w:tcPr>
          <w:p>
            <w:r/>
            <w:r>
              <w:rPr>
                <w:b w:val="0"/>
              </w:rPr>
              <w:t>315 % (+65 % par enfant supplémentaire)</w:t>
            </w:r>
          </w:p>
        </w:tc>
      </w:tr>
      <w:tr>
        <w:tc>
          <w:tcPr>
            <w:tcW w:type="dxa" w:w="2160"/>
          </w:tcPr>
          <w:p>
            <w:r/>
            <w:r>
              <w:rPr>
                <w:b w:val="0"/>
              </w:rPr>
              <w:t>Option 2 — Capital réduit + rente éducation</w:t>
            </w:r>
          </w:p>
        </w:tc>
        <w:tc>
          <w:tcPr>
            <w:tcW w:type="dxa" w:w="2160"/>
          </w:tcPr>
          <w:p>
            <w:r/>
            <w:r>
              <w:rPr>
                <w:b w:val="0"/>
              </w:rPr>
              <w:t>100 % + rente éducation (25 %/an par enfant jusqu'à 26 ans)</w:t>
            </w:r>
          </w:p>
        </w:tc>
        <w:tc>
          <w:tcPr>
            <w:tcW w:type="dxa" w:w="2160"/>
          </w:tcPr>
          <w:p>
            <w:r/>
            <w:r>
              <w:rPr>
                <w:b w:val="0"/>
              </w:rPr>
              <w:t>100 % + rente éducation</w:t>
            </w:r>
          </w:p>
        </w:tc>
        <w:tc>
          <w:tcPr>
            <w:tcW w:type="dxa" w:w="2160"/>
          </w:tcPr>
          <w:p>
            <w:r/>
            <w:r>
              <w:rPr>
                <w:b w:val="0"/>
              </w:rPr>
              <w:t>100 % + rente éducation</w:t>
            </w:r>
          </w:p>
        </w:tc>
      </w:tr>
      <w:tr>
        <w:tc>
          <w:tcPr>
            <w:tcW w:type="dxa" w:w="2160"/>
          </w:tcPr>
          <w:p>
            <w:r/>
            <w:r>
              <w:rPr>
                <w:b w:val="0"/>
              </w:rPr>
              <w:t>Option 3 — Capital réduit + rente de conjoint</w:t>
            </w:r>
          </w:p>
        </w:tc>
        <w:tc>
          <w:tcPr>
            <w:tcW w:type="dxa" w:w="2160"/>
          </w:tcPr>
          <w:p>
            <w:r/>
            <w:r>
              <w:rPr>
                <w:b w:val="0"/>
              </w:rPr>
              <w:t>50 %</w:t>
            </w:r>
          </w:p>
        </w:tc>
        <w:tc>
          <w:tcPr>
            <w:tcW w:type="dxa" w:w="2160"/>
          </w:tcPr>
          <w:p>
            <w:r/>
            <w:r>
              <w:rPr>
                <w:b w:val="0"/>
              </w:rPr>
              <w:t>50 % + rente viagère et temporaire au conjoint</w:t>
            </w:r>
          </w:p>
        </w:tc>
        <w:tc>
          <w:tcPr>
            <w:tcW w:type="dxa" w:w="2160"/>
          </w:tcPr>
          <w:p>
            <w:r/>
            <w:r>
              <w:rPr>
                <w:b w:val="0"/>
              </w:rPr>
              <w:t>50 % + rentes</w:t>
            </w:r>
          </w:p>
        </w:tc>
      </w:tr>
    </w:tbl>
    <w:p/>
    <w:p>
      <w:r>
        <w:rPr>
          <w:b w:val="0"/>
          <w:i w:val="0"/>
        </w:rPr>
        <w:t xml:space="preserve">Si les bénéficiaires ne se mettent pas d'accord sous 60 jours, l'option 1 s'applique par défaut. Une </w:t>
      </w:r>
      <w:r>
        <w:rPr>
          <w:b/>
          <w:i w:val="0"/>
        </w:rPr>
        <w:t>indemnité de frais d'obsèques</w:t>
      </w:r>
      <w:r>
        <w:rPr>
          <w:b w:val="0"/>
          <w:i w:val="0"/>
        </w:rPr>
        <w:t xml:space="preserve"> (5 % du plafond mensuel de la Sécurité sociale) s'ajoute, versée à la personne qui a supporté les frais.</w:t>
      </w:r>
    </w:p>
    <w:p>
      <w:r>
        <w:rPr>
          <w:b/>
          <w:i w:val="0"/>
        </w:rPr>
        <w:t>Décès accidentel :</w:t>
      </w:r>
      <w:r>
        <w:rPr>
          <w:b w:val="0"/>
          <w:i w:val="0"/>
        </w:rPr>
        <w:t xml:space="preserve"> un capital supplémentaire égal à 100 % de l'option 1 s'ajoute aux montants ci-dessus.</w:t>
      </w:r>
    </w:p>
    <w:p>
      <w:r>
        <w:rPr>
          <w:b/>
          <w:i w:val="0"/>
        </w:rPr>
        <w:t>Perte totale et irréversible d'autonomie :</w:t>
      </w:r>
      <w:r>
        <w:rPr>
          <w:b w:val="0"/>
          <w:i w:val="0"/>
        </w:rPr>
        <w:t xml:space="preserve"> le capital décès (option 1) est versé par anticipation.</w:t>
      </w:r>
    </w:p>
    <w:p>
      <w:r>
        <w:rPr>
          <w:color w:val="5B6578"/>
          <w:sz w:val="16"/>
        </w:rPr>
        <w:t>────────────────────────────────────────</w:t>
      </w:r>
    </w:p>
    <w:p>
      <w:pPr>
        <w:pStyle w:val="Heading2"/>
      </w:pPr>
      <w:r>
        <w:rPr>
          <w:b w:val="0"/>
          <w:i w:val="0"/>
        </w:rPr>
        <w:t>La clause bénéficiaire — qui reçoit le capital décès</w:t>
      </w:r>
    </w:p>
    <w:p>
      <w:r>
        <w:rPr>
          <w:b w:val="0"/>
          <w:i w:val="0"/>
        </w:rPr>
        <w:t xml:space="preserve">Par défaut, c'est la </w:t>
      </w:r>
      <w:r>
        <w:rPr>
          <w:b/>
          <w:i w:val="0"/>
        </w:rPr>
        <w:t>clause type de la notice d'information</w:t>
      </w:r>
      <w:r>
        <w:rPr>
          <w:b w:val="0"/>
          <w:i w:val="0"/>
        </w:rPr>
        <w:t xml:space="preserve"> qui s'applique (conjoint, à défaut PACS, à défaut concubin, à défaut enfants par parts égales, à défaut parents, à défaut héritiers). </w:t>
      </w:r>
      <w:r>
        <w:rPr>
          <w:b/>
          <w:i w:val="0"/>
        </w:rPr>
        <w:t>Vous pouvez la remplacer à tout moment</w:t>
      </w:r>
      <w:r>
        <w:rPr>
          <w:b w:val="0"/>
          <w:i w:val="0"/>
        </w:rPr>
        <w:t xml:space="preserve"> par une désignation personnalisée, à l'aide du formulaire AXA « Clause bénéficiaire » (référence 480299 04 2017), que vous pouvez aussi renseigner en ligne sur quijeprotege.fr.</w:t>
      </w:r>
    </w:p>
    <w:p>
      <w:r>
        <w:rPr>
          <w:b w:val="0"/>
          <w:i w:val="0"/>
        </w:rPr>
        <w:t>Points à connaître avant de remplir ce formulaire :</w:t>
      </w:r>
    </w:p>
    <w:p>
      <w:pPr>
        <w:pStyle w:val="ListBullet"/>
      </w:pPr>
      <w:r>
        <w:rPr>
          <w:b w:val="0"/>
          <w:i w:val="0"/>
        </w:rPr>
        <w:t xml:space="preserve">Une fois qu'un bénéficiaire a </w:t>
      </w:r>
      <w:r>
        <w:rPr>
          <w:b/>
          <w:i w:val="0"/>
        </w:rPr>
        <w:t>accepté</w:t>
      </w:r>
      <w:r>
        <w:rPr>
          <w:b w:val="0"/>
          <w:i w:val="0"/>
        </w:rPr>
        <w:t xml:space="preserve"> le bénéfice de la clause, elle devient </w:t>
      </w:r>
      <w:r>
        <w:rPr>
          <w:b/>
          <w:i w:val="0"/>
        </w:rPr>
        <w:t>irrévocable</w:t>
      </w:r>
      <w:r>
        <w:rPr>
          <w:b w:val="0"/>
          <w:i w:val="0"/>
        </w:rPr>
        <w:t xml:space="preserve"> : vous ne pouvez plus la changer sans son accord.</w:t>
      </w:r>
    </w:p>
    <w:p>
      <w:pPr>
        <w:pStyle w:val="ListBullet"/>
      </w:pPr>
      <w:r>
        <w:rPr>
          <w:b w:val="0"/>
          <w:i w:val="0"/>
        </w:rPr>
        <w:t xml:space="preserve">Si vous désignez quelqu'un par sa qualité (« mon conjoint », « mon concubin »), c'est la situation </w:t>
      </w:r>
      <w:r>
        <w:rPr>
          <w:b/>
          <w:i w:val="0"/>
        </w:rPr>
        <w:t>au jour de votre décès</w:t>
      </w:r>
      <w:r>
        <w:rPr>
          <w:b w:val="0"/>
          <w:i w:val="0"/>
        </w:rPr>
        <w:t xml:space="preserve"> qui compte.</w:t>
      </w:r>
    </w:p>
    <w:p>
      <w:pPr>
        <w:pStyle w:val="ListBullet"/>
      </w:pPr>
      <w:r>
        <w:rPr>
          <w:b w:val="0"/>
          <w:i w:val="0"/>
        </w:rPr>
        <w:t xml:space="preserve">Pour une désignation nominative, précisez pour chaque bénéficiaire : nom, nom de naissance, prénom, date et lieu de naissance, adresse, et le </w:t>
      </w:r>
      <w:r>
        <w:rPr>
          <w:b/>
          <w:i w:val="0"/>
        </w:rPr>
        <w:t>pourcentage ou l'ordre de priorité</w:t>
      </w:r>
      <w:r>
        <w:rPr>
          <w:b w:val="0"/>
          <w:i w:val="0"/>
        </w:rPr>
        <w:t xml:space="preserve"> si plusieurs bénéficiaires.</w:t>
      </w:r>
    </w:p>
    <w:p>
      <w:pPr>
        <w:pStyle w:val="ListBullet"/>
      </w:pPr>
      <w:r>
        <w:rPr>
          <w:b w:val="0"/>
          <w:i w:val="0"/>
        </w:rPr>
        <w:t>Sans démarche de votre part, c'est la clause type qui s'applique automatiquement — ce n'est pas un vide juridique.</w:t>
      </w:r>
    </w:p>
    <w:p>
      <w:r>
        <w:rPr>
          <w:color w:val="5B6578"/>
          <w:sz w:val="16"/>
        </w:rPr>
        <w:t>────────────────────────────────────────</w:t>
      </w:r>
    </w:p>
    <w:p>
      <w:pPr>
        <w:pStyle w:val="Heading2"/>
      </w:pPr>
      <w:r>
        <w:rPr>
          <w:b w:val="0"/>
          <w:i w:val="0"/>
        </w:rPr>
        <w:t>La garantie Arrêt de travail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r>
          </w:p>
        </w:tc>
        <w:tc>
          <w:tcPr>
            <w:tcW w:type="dxa" w:w="4320"/>
          </w:tcPr>
          <w:p>
            <w:r/>
            <w:r>
              <w:rPr>
                <w:b/>
              </w:rPr>
              <w:t>Montant</w:t>
            </w:r>
          </w:p>
        </w:tc>
      </w:tr>
      <w:tr>
        <w:tc>
          <w:tcPr>
            <w:tcW w:type="dxa" w:w="4320"/>
          </w:tcPr>
          <w:p>
            <w:r/>
            <w:r>
              <w:rPr>
                <w:b w:val="0"/>
              </w:rPr>
              <w:t>Incapacité temporaire de travail — indemnité journalière, à compter du 91ᵉ jour d'arrêt continu (franchise de 90 jours), sous déduction des prestations de la Sécurité sociale</w:t>
            </w:r>
          </w:p>
        </w:tc>
        <w:tc>
          <w:tcPr>
            <w:tcW w:type="dxa" w:w="4320"/>
          </w:tcPr>
          <w:p>
            <w:r/>
            <w:r>
              <w:rPr>
                <w:b w:val="0"/>
              </w:rPr>
              <w:t>80 %</w:t>
            </w:r>
          </w:p>
        </w:tc>
      </w:tr>
      <w:tr>
        <w:tc>
          <w:tcPr>
            <w:tcW w:type="dxa" w:w="4320"/>
          </w:tcPr>
          <w:p>
            <w:r/>
            <w:r>
              <w:rPr>
                <w:b w:val="0"/>
              </w:rPr>
              <w:t>Invalidité 1ʳᵉ catégorie (capable d'exercer une activité)</w:t>
            </w:r>
          </w:p>
        </w:tc>
        <w:tc>
          <w:tcPr>
            <w:tcW w:type="dxa" w:w="4320"/>
          </w:tcPr>
          <w:p>
            <w:r/>
            <w:r>
              <w:rPr>
                <w:b w:val="0"/>
              </w:rPr>
              <w:t>48 %</w:t>
            </w:r>
          </w:p>
        </w:tc>
      </w:tr>
      <w:tr>
        <w:tc>
          <w:tcPr>
            <w:tcW w:type="dxa" w:w="4320"/>
          </w:tcPr>
          <w:p>
            <w:r/>
            <w:r>
              <w:rPr>
                <w:b w:val="0"/>
              </w:rPr>
              <w:t>Invalidité 2ᵉ et 3ᵉ catégories (incapacité totale)</w:t>
            </w:r>
          </w:p>
        </w:tc>
        <w:tc>
          <w:tcPr>
            <w:tcW w:type="dxa" w:w="4320"/>
          </w:tcPr>
          <w:p>
            <w:r/>
            <w:r>
              <w:rPr>
                <w:b w:val="0"/>
              </w:rPr>
              <w:t>80 %</w:t>
            </w:r>
          </w:p>
        </w:tc>
      </w:tr>
    </w:tbl>
    <w:p/>
    <w:p>
      <w:r>
        <w:rPr>
          <w:b w:val="0"/>
          <w:i w:val="0"/>
        </w:rPr>
        <w:t>En cas de rupture du contrat de travail, le cumul des prestations AXA et de la Sécurité sociale est limité à 100 % de votre salaire net imposable.</w:t>
      </w:r>
    </w:p>
    <w:p>
      <w:r>
        <w:rPr>
          <w:color w:val="5B6578"/>
          <w:sz w:val="16"/>
        </w:rPr>
        <w:t>────────────────────────────────────────</w:t>
      </w:r>
    </w:p>
    <w:p>
      <w:pPr>
        <w:pStyle w:val="Heading2"/>
      </w:pPr>
      <w:r>
        <w:rPr>
          <w:b w:val="0"/>
          <w:i w:val="0"/>
        </w:rPr>
        <w:t>La base de calcul — les tranches de salaire</w:t>
      </w:r>
    </w:p>
    <w:p>
      <w:r>
        <w:rPr>
          <w:b w:val="0"/>
          <w:i w:val="0"/>
        </w:rPr>
        <w:t>Les pourcentages ci-dessus s'appliquent à votre salaire brut des 12 derniers mois, découpé en tranches par rapport au plafond annuel de la Sécurité sociale (PASS) :</w:t>
      </w:r>
    </w:p>
    <w:p>
      <w:pPr>
        <w:pStyle w:val="ListBullet"/>
      </w:pPr>
      <w:r>
        <w:rPr>
          <w:b/>
          <w:i w:val="0"/>
        </w:rPr>
        <w:t>Tranche A</w:t>
      </w:r>
      <w:r>
        <w:rPr>
          <w:b w:val="0"/>
          <w:i w:val="0"/>
        </w:rPr>
        <w:t xml:space="preserve"> : la part du salaire jusqu'à 1 fois le PASS</w:t>
      </w:r>
    </w:p>
    <w:p>
      <w:pPr>
        <w:pStyle w:val="ListBullet"/>
      </w:pPr>
      <w:r>
        <w:rPr>
          <w:b/>
          <w:i w:val="0"/>
        </w:rPr>
        <w:t>Tranche B</w:t>
      </w:r>
      <w:r>
        <w:rPr>
          <w:b w:val="0"/>
          <w:i w:val="0"/>
        </w:rPr>
        <w:t xml:space="preserve"> : la part comprise entre 1 et 4 fois le PASS</w:t>
      </w:r>
    </w:p>
    <w:p>
      <w:pPr>
        <w:pStyle w:val="ListBullet"/>
      </w:pPr>
      <w:r>
        <w:rPr>
          <w:b/>
          <w:i w:val="0"/>
        </w:rPr>
        <w:t>Tranche C</w:t>
      </w:r>
      <w:r>
        <w:rPr>
          <w:b w:val="0"/>
          <w:i w:val="0"/>
        </w:rPr>
        <w:t xml:space="preserve"> : la part comprise entre 4 et 8 fois le PASS (soumise à une déclaration préalable de l'employeur et à des formalités médicales)</w:t>
      </w:r>
    </w:p>
    <w:p>
      <w:r>
        <w:rPr>
          <w:color w:val="5B6578"/>
          <w:sz w:val="16"/>
        </w:rPr>
        <w:t>────────────────────────────────────────</w:t>
      </w:r>
    </w:p>
    <w:p>
      <w:pPr>
        <w:pStyle w:val="Heading2"/>
      </w:pPr>
      <w:r>
        <w:rPr>
          <w:b w:val="0"/>
          <w:i w:val="0"/>
        </w:rPr>
        <w:t>En cas de rupture du contrat de travail</w:t>
      </w:r>
    </w:p>
    <w:p>
      <w:pPr>
        <w:pStyle w:val="ListBullet"/>
      </w:pPr>
      <w:r>
        <w:rPr>
          <w:b/>
          <w:i w:val="0"/>
        </w:rPr>
        <w:t>Portabilité</w:t>
      </w:r>
      <w:r>
        <w:rPr>
          <w:b w:val="0"/>
          <w:i w:val="0"/>
        </w:rPr>
        <w:t xml:space="preserve"> (maintien des garanties) si la rupture ouvre droit à une prise en charge par l'assurance chômage, hors licenciement pour faute lourde.</w:t>
      </w:r>
    </w:p>
    <w:p>
      <w:pPr>
        <w:pStyle w:val="Heading2"/>
      </w:pPr>
      <w:r>
        <w:rPr>
          <w:b w:val="0"/>
          <w:i w:val="0"/>
        </w:rPr>
        <w:t xml:space="preserve">Les services complémentaires </w:t>
      </w:r>
      <w:r>
        <w:rPr>
          <w:b w:val="0"/>
          <w:i/>
          <w:color w:val="5B6578"/>
        </w:rPr>
        <w:t>(notices d'information)</w:t>
      </w:r>
    </w:p>
    <w:p>
      <w:r>
        <w:rPr>
          <w:b w:val="0"/>
          <w:i w:val="0"/>
        </w:rPr>
        <w:t>Les garanties Arrêt de travail et Décès accidentel ouvrent droit à des services d'assistance. En cas d'atteinte corporelle grave (accident ou maladie soudaine et imprévisible, constatée par une autorité médicale) :</w:t>
      </w:r>
    </w:p>
    <w:p>
      <w:pPr>
        <w:pStyle w:val="ListBullet"/>
      </w:pPr>
      <w:r>
        <w:rPr>
          <w:b/>
          <w:i w:val="0"/>
        </w:rPr>
        <w:t>Rapatriement sanitaire</w:t>
      </w:r>
      <w:r>
        <w:rPr>
          <w:b w:val="0"/>
          <w:i w:val="0"/>
        </w:rPr>
        <w:t>, organisé et pris en charge par AXA, si l'atteinte survient à plus de 50 km du domicile.</w:t>
      </w:r>
    </w:p>
    <w:p>
      <w:pPr>
        <w:pStyle w:val="ListBullet"/>
      </w:pPr>
      <w:r>
        <w:rPr>
          <w:b w:val="0"/>
          <w:i w:val="0"/>
        </w:rPr>
        <w:t xml:space="preserve">Si l'atteinte grave vous </w:t>
      </w:r>
      <w:r>
        <w:rPr>
          <w:b/>
          <w:i w:val="0"/>
        </w:rPr>
        <w:t>immobilise à domicile plus de 5 jours</w:t>
      </w:r>
      <w:r>
        <w:rPr>
          <w:b w:val="0"/>
          <w:i w:val="0"/>
        </w:rPr>
        <w:t xml:space="preserve"> sur prescription médicale : venue d'un proche à votre chevet (si aucun membre de votre famille n'habite à moins de 50 km), </w:t>
      </w:r>
      <w:r>
        <w:rPr>
          <w:b/>
          <w:i w:val="0"/>
        </w:rPr>
        <w:t>garde de vos enfants</w:t>
      </w:r>
      <w:r>
        <w:rPr>
          <w:b w:val="0"/>
          <w:i w:val="0"/>
        </w:rPr>
        <w:t xml:space="preserve"> de moins de 15 ans (jusqu'à 30 heures réparties sur 15 jours) et </w:t>
      </w:r>
      <w:r>
        <w:rPr>
          <w:b/>
          <w:i w:val="0"/>
        </w:rPr>
        <w:t>aide-ménagère à domicile</w:t>
      </w:r>
      <w:r>
        <w:rPr>
          <w:b w:val="0"/>
          <w:i w:val="0"/>
        </w:rPr>
        <w:t xml:space="preserve"> (jusqu'à 30 heures réparties sur 15 jours, demande à faire dans les 8 jours).</w:t>
      </w:r>
    </w:p>
    <w:p>
      <w:pPr>
        <w:pStyle w:val="ListBullet"/>
      </w:pPr>
      <w:r>
        <w:rPr>
          <w:b w:val="0"/>
          <w:i w:val="0"/>
        </w:rPr>
        <w:t>En cas de décès accidentel : services d'accompagnement des proches (rapatriement du corps, présence d'un proche, numéro d'information).</w:t>
      </w:r>
    </w:p>
    <w:p>
      <w:r>
        <w:rPr>
          <w:b w:val="0"/>
          <w:i w:val="0"/>
        </w:rPr>
        <w:t xml:space="preserve">Une autre notice d'information décrit l'ensemble des assistances AXA possibles (contrat n° 2713840), aux limites différentes : voir le </w:t>
      </w:r>
      <w:r>
        <w:rPr>
          <w:b w:val="0"/>
          <w:i w:val="0"/>
        </w:rPr>
        <w:t>résumé Assistances AXA</w:t>
      </w:r>
      <w:r>
        <w:rPr>
          <w:b w:val="0"/>
          <w:i w:val="0"/>
        </w:rPr>
        <w:t>.</w:t>
      </w:r>
    </w:p>
    <w:p>
      <w:r>
        <w:rPr>
          <w:color w:val="5B6578"/>
          <w:sz w:val="16"/>
        </w:rPr>
        <w:t>────────────────────────────────────────</w:t>
      </w:r>
    </w:p>
    <w:p>
      <w:pPr>
        <w:pStyle w:val="Heading2"/>
      </w:pPr>
      <w:r>
        <w:rPr>
          <w:b w:val="0"/>
          <w:i w:val="0"/>
        </w:rPr>
        <w:t>Suivi</w:t>
      </w:r>
    </w:p>
    <w:p>
      <w:pPr>
        <w:pStyle w:val="ListBullet"/>
      </w:pPr>
      <w:r>
        <w:rPr>
          <w:b/>
          <w:i w:val="0"/>
        </w:rPr>
        <w:t>Information individuelle</w:t>
      </w:r>
      <w:r>
        <w:rPr>
          <w:b w:val="0"/>
          <w:i w:val="0"/>
        </w:rPr>
        <w:t xml:space="preserve"> : une notice d'information est remise à chaque salarié concerné ; toute modification est communiquée dans les mêmes conditions.</w:t>
      </w:r>
    </w:p>
    <w:p>
      <w:pPr>
        <w:pStyle w:val="ListBullet"/>
      </w:pPr>
      <w:r>
        <w:rPr>
          <w:b/>
          <w:i w:val="0"/>
        </w:rPr>
        <w:t>Changement d'organisme assureur</w:t>
      </w:r>
      <w:r>
        <w:rPr>
          <w:b w:val="0"/>
          <w:i w:val="0"/>
        </w:rPr>
        <w:t xml:space="preserve"> : les rentes en cours et les garanties décès des bénéficiaires de rentes d'incapacité/invalidité sont maintenues, au moins au niveau prévu par le contrat résilié.</w:t>
      </w:r>
    </w:p>
    <w:p>
      <w:r>
        <w:rPr>
          <w:color w:val="5B6578"/>
          <w:sz w:val="16"/>
        </w:rPr>
        <w:t>────────────────────────────────────────</w:t>
      </w:r>
    </w:p>
    <w:p>
      <w:r>
        <w:rPr>
          <w:b w:val="0"/>
          <w:i/>
          <w:color w:val="5B6578"/>
        </w:rPr>
        <w:t>Source : Notices d'information Prévoyance AXA France Vie n°2257604110000Q (cadres) et n°2257604120000Q (non cadres), en date du 23 novembre 2015, effet au 1er janvier 2016. Contrats d'assurance de l'ICO, aucun syndicat signataire.</w:t>
      </w:r>
    </w:p>
    <w:p>
      <w:r>
        <w:rPr>
          <w:b w:val="0"/>
          <w:i/>
          <w:color w:val="5B6578"/>
        </w:rPr>
        <w:t xml:space="preserve">Les références entre parenthèses renvoient aux articles des notices. Seuls les textes intégraux font référence : </w:t>
      </w:r>
      <w:r>
        <w:rPr>
          <w:b w:val="0"/>
          <w:i/>
          <w:color w:val="5B6578"/>
        </w:rPr>
        <w:t>notice non cadres (PDF)</w:t>
      </w:r>
      <w:r>
        <w:rPr>
          <w:b w:val="0"/>
          <w:i/>
          <w:color w:val="5B6578"/>
        </w:rPr>
        <w:t xml:space="preserve">, </w:t>
      </w:r>
      <w:r>
        <w:rPr>
          <w:b w:val="0"/>
          <w:i/>
          <w:color w:val="5B6578"/>
        </w:rPr>
        <w:t>notice cadres (PDF)</w:t>
      </w:r>
      <w:r>
        <w:rPr>
          <w:b w:val="0"/>
          <w:i/>
          <w:color w:val="5B6578"/>
        </w:rPr>
        <w:t xml:space="preserve">, </w:t>
      </w:r>
      <w:r>
        <w:rPr>
          <w:b w:val="0"/>
          <w:i/>
          <w:color w:val="5B6578"/>
        </w:rPr>
        <w:t>formulaire clause bénéficiaire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