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Compte Épargne Temps (CET)</w:t>
      </w:r>
    </w:p>
    <w:p>
      <w:pPr>
        <w:pStyle w:val="Heading1"/>
      </w:pPr>
      <w:r>
        <w:rPr>
          <w:b w:val="0"/>
          <w:i w:val="0"/>
        </w:rPr>
        <w:t>Compte Épargne Temps (CET)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Tout salarié, dès </w:t>
      </w:r>
      <w:r>
        <w:rPr>
          <w:b/>
          <w:i w:val="0"/>
        </w:rPr>
        <w:t>6 mois d'ancienneté continue</w:t>
      </w:r>
      <w:r>
        <w:rPr>
          <w:b w:val="0"/>
          <w:i w:val="0"/>
        </w:rPr>
        <w:t xml:space="preserve">, sur la base du volontariat </w:t>
      </w:r>
      <w:r>
        <w:rPr>
          <w:b w:val="0"/>
          <w:i/>
          <w:color w:val="5B6578"/>
        </w:rPr>
        <w:t>(Art. 2)</w:t>
      </w:r>
      <w:r>
        <w:rPr>
          <w:b w:val="0"/>
          <w:i w:val="0"/>
        </w:rPr>
        <w:t>.</w:t>
      </w:r>
    </w:p>
    <w:p>
      <w:r>
        <w:rPr>
          <w:b/>
          <w:i w:val="0"/>
        </w:rPr>
        <w:t>À quoi sert le CET</w:t>
      </w:r>
    </w:p>
    <w:p>
      <w:pPr>
        <w:pStyle w:val="ListBullet"/>
      </w:pPr>
      <w:r>
        <w:rPr>
          <w:b w:val="0"/>
          <w:i w:val="0"/>
        </w:rPr>
        <w:t xml:space="preserve">Épargner des jours de congés/RTT non pris ou des primes, pour : financer un projet personnel, une formation, un passage à temps partiel, ou anticiper un départ en retraite </w:t>
      </w:r>
      <w:r>
        <w:rPr>
          <w:b w:val="0"/>
          <w:i/>
          <w:color w:val="5B6578"/>
        </w:rPr>
        <w:t>(Art. 1)</w:t>
      </w:r>
    </w:p>
    <w:p>
      <w:pPr>
        <w:pStyle w:val="ListBullet"/>
      </w:pPr>
      <w:r>
        <w:rPr>
          <w:b w:val="0"/>
          <w:i w:val="0"/>
        </w:rPr>
        <w:t xml:space="preserve">Bénéficier, sous conditions, d'un complément de rémunération immédiate, jusqu'à 2 000 € (ex. carence maladie, soins coûteux) </w:t>
      </w:r>
      <w:r>
        <w:rPr>
          <w:b w:val="0"/>
          <w:i/>
          <w:color w:val="5B6578"/>
        </w:rPr>
        <w:t>(Art. 5.2)</w:t>
      </w:r>
      <w:r>
        <w:rPr>
          <w:b w:val="0"/>
          <w:i w:val="0"/>
        </w:rPr>
        <w:t xml:space="preserve">, ou racheter des trimestres de retraite manquants, dans la limite de 12 trimestres </w:t>
      </w:r>
      <w:r>
        <w:rPr>
          <w:b w:val="0"/>
          <w:i/>
          <w:color w:val="5B6578"/>
        </w:rPr>
        <w:t>(Art. 5.4)</w:t>
      </w:r>
    </w:p>
    <w:p>
      <w:pPr>
        <w:pStyle w:val="ListBullet"/>
      </w:pPr>
      <w:r>
        <w:rPr>
          <w:b w:val="0"/>
          <w:i w:val="0"/>
        </w:rPr>
        <w:t xml:space="preserve">Alimenter le PEE ou le PERCOL de l'ICO </w:t>
      </w:r>
      <w:r>
        <w:rPr>
          <w:b w:val="0"/>
          <w:i/>
          <w:color w:val="5B6578"/>
        </w:rPr>
        <w:t>(Art. 5.3)</w:t>
      </w:r>
    </w:p>
    <w:p>
      <w:pPr>
        <w:pStyle w:val="ListBullet"/>
      </w:pPr>
      <w:r>
        <w:rPr>
          <w:b w:val="0"/>
          <w:i w:val="0"/>
        </w:rPr>
        <w:t xml:space="preserve">L'absence liée à la pose du CET n'est pas préjudiciable pour l'attribution de la BIC, qui s'évalue sur le temps de présence </w:t>
      </w:r>
      <w:r>
        <w:rPr>
          <w:b w:val="0"/>
          <w:i/>
          <w:color w:val="5B6578"/>
        </w:rPr>
        <w:t>(Art. 1)</w:t>
      </w:r>
    </w:p>
    <w:p>
      <w:r>
        <w:rPr>
          <w:b/>
          <w:i w:val="0"/>
        </w:rPr>
        <w:t>Ce que vous pouvez déposer, et combien</w:t>
      </w:r>
    </w:p>
    <w:p>
      <w:pPr>
        <w:pStyle w:val="ListBullet"/>
      </w:pPr>
      <w:r>
        <w:rPr>
          <w:b/>
          <w:i w:val="0"/>
        </w:rPr>
        <w:t>Plafond annuel de dépôt en jours : 20 jours maximum par année civile, tous types cumulés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 w:val="0"/>
          <w:i w:val="0"/>
        </w:rPr>
        <w:t>Ce que vous pouvez y mettre :</w:t>
      </w:r>
    </w:p>
    <w:p>
      <w:pPr>
        <w:pStyle w:val="ListBullet"/>
      </w:pPr>
      <w:r>
        <w:rPr>
          <w:b w:val="0"/>
          <w:i w:val="0"/>
        </w:rPr>
        <w:t xml:space="preserve">vos congés payés non pris au 31 décembre au-delà de 20 jours ouvrés, fractionnement inclus — en pratique, seule la </w:t>
      </w:r>
      <w:r>
        <w:rPr>
          <w:b/>
          <w:i w:val="0"/>
        </w:rPr>
        <w:t>5ᵉ semaine de CP (et au-delà)</w:t>
      </w:r>
      <w:r>
        <w:rPr>
          <w:b w:val="0"/>
          <w:i w:val="0"/>
        </w:rPr>
        <w:t xml:space="preserve"> peut alimenter le CET </w:t>
      </w:r>
      <w:r>
        <w:rPr>
          <w:b w:val="0"/>
          <w:i/>
          <w:color w:val="5B6578"/>
        </w:rPr>
        <w:t>(Art. 3.1, Art. 5)</w:t>
      </w:r>
    </w:p>
    <w:p>
      <w:pPr>
        <w:pStyle w:val="ListBullet"/>
      </w:pPr>
      <w:r>
        <w:rPr>
          <w:b w:val="0"/>
          <w:i w:val="0"/>
        </w:rPr>
        <w:t xml:space="preserve">pour les non-cadres : jusqu'à la </w:t>
      </w:r>
      <w:r>
        <w:rPr>
          <w:b/>
          <w:i w:val="0"/>
        </w:rPr>
        <w:t>moitié de vos heures de RTT</w:t>
      </w:r>
      <w:r>
        <w:rPr>
          <w:b w:val="0"/>
          <w:i w:val="0"/>
        </w:rPr>
        <w:t xml:space="preserve">, arrondie à l'heure supérieure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 w:val="0"/>
          <w:i w:val="0"/>
        </w:rPr>
        <w:t xml:space="preserve">pour les cadres au forfait annuel en jours : vos jours de RTT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 w:val="0"/>
          <w:i w:val="0"/>
        </w:rPr>
        <w:t xml:space="preserve">pour les non-cadres : vos heures supplémentaires majorées, avec un </w:t>
      </w:r>
      <w:r>
        <w:rPr>
          <w:b/>
          <w:i w:val="0"/>
        </w:rPr>
        <w:t>minimum de 7h et un maximum de 35h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 w:val="0"/>
          <w:i w:val="0"/>
        </w:rPr>
        <w:t xml:space="preserve">des primes (BIC, PPI, primes exceptionnelles) ou tout ou partie de votre intéressement </w:t>
      </w:r>
      <w:r>
        <w:rPr>
          <w:b w:val="0"/>
          <w:i/>
          <w:color w:val="5B6578"/>
        </w:rPr>
        <w:t>(Art. 3.2)</w:t>
      </w:r>
    </w:p>
    <w:p>
      <w:pPr>
        <w:pStyle w:val="ListBullet"/>
      </w:pPr>
      <w:r>
        <w:rPr>
          <w:b/>
          <w:i w:val="0"/>
        </w:rPr>
        <w:t>Conditions à respecter pour déposer des jours</w:t>
      </w:r>
      <w:r>
        <w:rPr>
          <w:b w:val="0"/>
          <w:i w:val="0"/>
        </w:rPr>
        <w:t xml:space="preserve"> : vous devez continuer à respecter la durée hebdomadaire maximale de 48h et prendre effectivement vos 4 semaines de congés payés annuels ; les repos légaux de protection de la santé et de la sécurité (repos quotidien, hebdomadaire, contreparties du travail de nuit) ne peuvent jamais être versés au CET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/>
          <w:i w:val="0"/>
        </w:rPr>
        <w:t>Pour une prime</w:t>
      </w:r>
      <w:r>
        <w:rPr>
          <w:b w:val="0"/>
          <w:i w:val="0"/>
        </w:rPr>
        <w:t xml:space="preserve"> : vous avez </w:t>
      </w:r>
      <w:r>
        <w:rPr>
          <w:b/>
          <w:i w:val="0"/>
        </w:rPr>
        <w:t>15 jours après son versement</w:t>
      </w:r>
      <w:r>
        <w:rPr>
          <w:b w:val="0"/>
          <w:i w:val="0"/>
        </w:rPr>
        <w:t xml:space="preserve"> pour signaler à la DRH votre intention de l'affecter au CET (formulaire dédié) — passé ce délai, elle ne peut plus y être versée </w:t>
      </w:r>
      <w:r>
        <w:rPr>
          <w:b w:val="0"/>
          <w:i/>
          <w:color w:val="5B6578"/>
        </w:rPr>
        <w:t>(Art. 3.2)</w:t>
      </w:r>
    </w:p>
    <w:p>
      <w:pPr>
        <w:pStyle w:val="ListBullet"/>
      </w:pPr>
      <w:r>
        <w:rPr>
          <w:b/>
          <w:i w:val="0"/>
        </w:rPr>
        <w:t>Demande de versement en jours : à déposer avant le 15 janvier de l'année suivante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3.3, tel que modifié par l'avenant du 31/01/2022 — la date a été repoussée du 30 novembre au 15 janvier, pour tenir compte de l'annualisation du temps de travail, qui ne permet pas de connaître son solde avant fin novembre)</w:t>
      </w:r>
    </w:p>
    <w:p>
      <w:pPr>
        <w:pStyle w:val="ListBullet"/>
      </w:pPr>
      <w:r>
        <w:rPr>
          <w:b/>
          <w:i w:val="0"/>
        </w:rPr>
        <w:t>Plafond global d'épargne : 1 820 heures maximum</w:t>
      </w:r>
      <w:r>
        <w:rPr>
          <w:b w:val="0"/>
          <w:i w:val="0"/>
        </w:rPr>
        <w:t xml:space="preserve"> (soit l'équivalent d'un an) </w:t>
      </w:r>
      <w:r>
        <w:rPr>
          <w:b w:val="0"/>
          <w:i/>
          <w:color w:val="5B6578"/>
        </w:rPr>
        <w:t>(Art. 4.4)</w:t>
      </w:r>
    </w:p>
    <w:p>
      <w:r>
        <w:rPr>
          <w:b/>
          <w:i w:val="0"/>
        </w:rPr>
        <w:t>Conditions pour utiliser votre CET</w:t>
      </w:r>
    </w:p>
    <w:p>
      <w:pPr>
        <w:pStyle w:val="ListBullet"/>
      </w:pPr>
      <w:r>
        <w:rPr>
          <w:b/>
          <w:i w:val="0"/>
        </w:rPr>
        <w:t>Minimum requis avant utilisation</w:t>
      </w:r>
      <w:r>
        <w:rPr>
          <w:b w:val="0"/>
          <w:i w:val="0"/>
        </w:rPr>
        <w:t xml:space="preserve"> : vous devez avoir épargné au moins l'équivalent de </w:t>
      </w:r>
      <w:r>
        <w:rPr>
          <w:b/>
          <w:i w:val="0"/>
        </w:rPr>
        <w:t>35 heures de travail pour un temps complet</w:t>
      </w:r>
      <w:r>
        <w:rPr>
          <w:b w:val="0"/>
          <w:i w:val="0"/>
        </w:rPr>
        <w:t xml:space="preserve"> (au prorata pour un temps partiel) </w:t>
      </w:r>
      <w:r>
        <w:rPr>
          <w:b w:val="0"/>
          <w:i/>
          <w:color w:val="5B6578"/>
        </w:rPr>
        <w:t>(Art. 4.4)</w:t>
      </w:r>
    </w:p>
    <w:p>
      <w:pPr>
        <w:pStyle w:val="ListBullet"/>
      </w:pPr>
      <w:r>
        <w:rPr>
          <w:b w:val="0"/>
          <w:i w:val="0"/>
        </w:rPr>
        <w:t xml:space="preserve">Votre demande doit être écrite ; pour un </w:t>
      </w:r>
      <w:r>
        <w:rPr>
          <w:b/>
          <w:i w:val="0"/>
        </w:rPr>
        <w:t>congé pour convenance personnelle de plus d'une semaine</w:t>
      </w:r>
      <w:r>
        <w:rPr>
          <w:b w:val="0"/>
          <w:i w:val="0"/>
        </w:rPr>
        <w:t xml:space="preserve">, vous devez la présenter </w:t>
      </w:r>
      <w:r>
        <w:rPr>
          <w:b/>
          <w:i w:val="0"/>
        </w:rPr>
        <w:t>3 mois avant le premier jour du congé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5.1.2)</w:t>
      </w:r>
    </w:p>
    <w:p>
      <w:pPr>
        <w:pStyle w:val="ListBullet"/>
      </w:pPr>
      <w:r>
        <w:rPr>
          <w:b w:val="0"/>
          <w:i w:val="0"/>
        </w:rPr>
        <w:t xml:space="preserve">L'employeur peut refuser tout ou partie de la prise de vos jours pour : absence de justificatifs (lien de parenté, décès, certificat médical selon le motif), ou raisons de service appréciées par la Direction </w:t>
      </w:r>
      <w:r>
        <w:rPr>
          <w:b w:val="0"/>
          <w:i/>
          <w:color w:val="5B6578"/>
        </w:rPr>
        <w:t>(Art. 5.1.2)</w:t>
      </w:r>
    </w:p>
    <w:p>
      <w:pPr>
        <w:pStyle w:val="ListBullet"/>
      </w:pPr>
      <w:r>
        <w:rPr>
          <w:b w:val="0"/>
          <w:i w:val="0"/>
        </w:rPr>
        <w:t xml:space="preserve">Vous ne pouvez pas prendre plus de jours que ce que votre épargne permet, mais vos congés CET peuvent être accolés à vos congés légaux annuels </w:t>
      </w:r>
      <w:r>
        <w:rPr>
          <w:b w:val="0"/>
          <w:i/>
          <w:color w:val="5B6578"/>
        </w:rPr>
        <w:t>(Art. 5.1.2)</w:t>
      </w:r>
    </w:p>
    <w:p>
      <w:pPr>
        <w:pStyle w:val="ListBullet"/>
      </w:pPr>
      <w:r>
        <w:rPr>
          <w:b w:val="0"/>
          <w:i w:val="0"/>
        </w:rPr>
        <w:t xml:space="preserve">Pendant le congé indemnisé par le CET, votre contrat est suspendu : vous n'acquérez pas de nouveaux congés payés, mais vous restez compté dans les effectifs, électeur, couvert par votre mutuelle et vos régimes de prévoyance </w:t>
      </w:r>
      <w:r>
        <w:rPr>
          <w:b w:val="0"/>
          <w:i/>
          <w:color w:val="5B6578"/>
        </w:rPr>
        <w:t>(Art. 5.1.4)</w:t>
      </w:r>
    </w:p>
    <w:p>
      <w:r>
        <w:rPr>
          <w:b/>
          <w:i w:val="0"/>
        </w:rPr>
        <w:t>Complément de rémunération immédiate (jusqu'à 2 000 €)</w:t>
      </w:r>
    </w:p>
    <w:p>
      <w:r>
        <w:rPr>
          <w:b w:val="0"/>
          <w:i w:val="0"/>
        </w:rPr>
        <w:t xml:space="preserve">Possible, sous validation, pour : une carence maladie (une seule fois par an civile, sur des droits acquis au moins depuis l'année précédente), des soins coûteux ou un hébergement lié aux soins (au-delà de 200 €), la naissance ou l'arrivée d'un enfant au foyer, un divorce ou une dissolution de PACS officialisés, une invalidité (salarié, enfant, conjoint ou partenaire de PACS), le décès du conjoint/partenaire ou d'un membre de la famille, ou une situation de surendettement </w:t>
      </w:r>
      <w:r>
        <w:rPr>
          <w:b w:val="0"/>
          <w:i/>
          <w:color w:val="5B6578"/>
        </w:rPr>
        <w:t>(Art. 5.2)</w:t>
      </w:r>
      <w:r>
        <w:rPr>
          <w:b w:val="0"/>
          <w:i w:val="0"/>
        </w:rPr>
        <w:t xml:space="preserve">. Les droits issus de la 5ᵉ semaine de congés payés ne peuvent jamais être utilisés pour ce complément </w:t>
      </w:r>
      <w:r>
        <w:rPr>
          <w:b w:val="0"/>
          <w:i/>
          <w:color w:val="5B6578"/>
        </w:rPr>
        <w:t>(Art. 5)</w:t>
      </w:r>
      <w:r>
        <w:rPr>
          <w:b w:val="0"/>
          <w:i w:val="0"/>
        </w:rPr>
        <w:t>.</w:t>
      </w:r>
    </w:p>
    <w:p>
      <w:r>
        <w:rPr>
          <w:b/>
          <w:i w:val="0"/>
        </w:rPr>
        <w:t>Si vous transférez vers le PERCOL</w:t>
      </w:r>
    </w:p>
    <w:p>
      <w:r>
        <w:rPr>
          <w:b w:val="0"/>
          <w:i w:val="0"/>
        </w:rPr>
        <w:t xml:space="preserve">Transfert limité à </w:t>
      </w:r>
      <w:r>
        <w:rPr>
          <w:b/>
          <w:i w:val="0"/>
        </w:rPr>
        <w:t>10 jours par an</w:t>
      </w:r>
      <w:r>
        <w:rPr>
          <w:b w:val="0"/>
          <w:i w:val="0"/>
        </w:rPr>
        <w:t xml:space="preserve">, avec un abondement de l'ICO à hauteur de </w:t>
      </w:r>
      <w:r>
        <w:rPr>
          <w:b/>
          <w:i w:val="0"/>
        </w:rPr>
        <w:t>15 % des montants transférés</w:t>
      </w:r>
      <w:r>
        <w:rPr>
          <w:b w:val="0"/>
          <w:i w:val="0"/>
        </w:rPr>
        <w:t xml:space="preserve">, dans la limite des plafonds réglementaires d'exonération </w:t>
      </w:r>
      <w:r>
        <w:rPr>
          <w:b w:val="0"/>
          <w:i/>
          <w:color w:val="5B6578"/>
        </w:rPr>
        <w:t>(Art. 5.3.1)</w:t>
      </w:r>
      <w:r>
        <w:rPr>
          <w:b w:val="0"/>
          <w:i w:val="0"/>
        </w:rPr>
        <w:t>.</w:t>
      </w:r>
    </w:p>
    <w:p>
      <w:r>
        <w:rPr>
          <w:b/>
          <w:i w:val="0"/>
        </w:rPr>
        <w:t>Si vous quittez l'ICO ou renoncez à votre CET</w:t>
      </w:r>
    </w:p>
    <w:p>
      <w:pPr>
        <w:pStyle w:val="ListBullet"/>
      </w:pPr>
      <w:r>
        <w:rPr>
          <w:b w:val="0"/>
          <w:i w:val="0"/>
        </w:rPr>
        <w:t xml:space="preserve">En cas de </w:t>
      </w:r>
      <w:r>
        <w:rPr>
          <w:b/>
          <w:i w:val="0"/>
        </w:rPr>
        <w:t>renoncement volontaire et définitif</w:t>
      </w:r>
      <w:r>
        <w:rPr>
          <w:b w:val="0"/>
          <w:i w:val="0"/>
        </w:rPr>
        <w:t xml:space="preserve">, vous êtes payé de l'intégralité de vos droits (hors 5ᵉ semaine de CP) — possible seulement si vous disposez du minimum d'épargne requis (35h) </w:t>
      </w:r>
      <w:r>
        <w:rPr>
          <w:b w:val="0"/>
          <w:i/>
          <w:color w:val="5B6578"/>
        </w:rPr>
        <w:t>(Art. 6.1)</w:t>
      </w:r>
    </w:p>
    <w:p>
      <w:pPr>
        <w:pStyle w:val="ListBullet"/>
      </w:pPr>
      <w:r>
        <w:rPr>
          <w:b w:val="0"/>
          <w:i w:val="0"/>
        </w:rPr>
        <w:t xml:space="preserve">En cas de </w:t>
      </w:r>
      <w:r>
        <w:rPr>
          <w:b/>
          <w:i w:val="0"/>
        </w:rPr>
        <w:t>rupture du contrat de travail</w:t>
      </w:r>
      <w:r>
        <w:rPr>
          <w:b w:val="0"/>
          <w:i w:val="0"/>
        </w:rPr>
        <w:t xml:space="preserve">, trois options : transfert vers le CET du nouvel employeur, indemnité compensatrice, ou consignation auprès de la Caisse des dépôts et consignations </w:t>
      </w:r>
      <w:r>
        <w:rPr>
          <w:b w:val="0"/>
          <w:i/>
          <w:color w:val="5B6578"/>
        </w:rPr>
        <w:t>(Art. 6.2)</w:t>
      </w:r>
    </w:p>
    <w:p>
      <w:pPr>
        <w:pStyle w:val="ListBullet"/>
      </w:pPr>
      <w:r>
        <w:rPr>
          <w:b w:val="0"/>
          <w:i w:val="0"/>
        </w:rPr>
        <w:t xml:space="preserve">En cas de </w:t>
      </w:r>
      <w:r>
        <w:rPr>
          <w:b/>
          <w:i w:val="0"/>
        </w:rPr>
        <w:t>décès</w:t>
      </w:r>
      <w:r>
        <w:rPr>
          <w:b w:val="0"/>
          <w:i w:val="0"/>
        </w:rPr>
        <w:t xml:space="preserve">, vos ayants droit perçoivent une indemnité correspondant à vos droits acquis </w:t>
      </w:r>
      <w:r>
        <w:rPr>
          <w:b w:val="0"/>
          <w:i/>
          <w:color w:val="5B6578"/>
        </w:rPr>
        <w:t>(Art. 6.3)</w:t>
      </w:r>
    </w:p>
    <w:p>
      <w:r>
        <w:rPr>
          <w:b/>
          <w:i w:val="0"/>
        </w:rPr>
        <w:t>Dates et signataires</w:t>
      </w:r>
    </w:p>
    <w:p>
      <w:pPr>
        <w:pStyle w:val="ListBullet"/>
      </w:pPr>
      <w:r>
        <w:rPr>
          <w:b w:val="0"/>
          <w:i w:val="0"/>
        </w:rPr>
        <w:t xml:space="preserve">Accord de base signé le </w:t>
      </w:r>
      <w:r>
        <w:rPr>
          <w:b/>
          <w:i w:val="0"/>
        </w:rPr>
        <w:t>19 mars 2021</w:t>
      </w:r>
      <w:r>
        <w:rPr>
          <w:b w:val="0"/>
          <w:i w:val="0"/>
        </w:rPr>
        <w:t xml:space="preserve"> par ICO (Mario Campone, DG), CGT-FO (David Di Peri), CFDT (Corinne Lanio), CFE-CGC (Geneviève Perrocheau).</w:t>
      </w:r>
    </w:p>
    <w:p>
      <w:pPr>
        <w:pStyle w:val="ListBullet"/>
      </w:pPr>
      <w:r>
        <w:rPr>
          <w:b w:val="0"/>
          <w:i w:val="0"/>
        </w:rPr>
        <w:t xml:space="preserve">Avenant n°1 signé le </w:t>
      </w:r>
      <w:r>
        <w:rPr>
          <w:b/>
          <w:i w:val="0"/>
        </w:rPr>
        <w:t>31 janvier 2022</w:t>
      </w:r>
      <w:r>
        <w:rPr>
          <w:b w:val="0"/>
          <w:i w:val="0"/>
        </w:rPr>
        <w:t xml:space="preserve"> par ICO (Mario Campone, DG), CGT-FO (David Di Peri), CFDT (Corinne Lanio), CFE-CGC (Geneviève Perrocheau).</w:t>
      </w:r>
    </w:p>
    <w:p>
      <w:pPr>
        <w:pStyle w:val="ListBullet"/>
      </w:pPr>
      <w:r>
        <w:rPr>
          <w:b w:val="0"/>
          <w:i w:val="0"/>
        </w:rPr>
        <w:t xml:space="preserve">Accord conclu pour une durée indéterminée </w:t>
      </w:r>
      <w:r>
        <w:rPr>
          <w:b w:val="0"/>
          <w:i/>
          <w:color w:val="5B6578"/>
        </w:rPr>
        <w:t>(Art. 8.2)</w:t>
      </w:r>
      <w:r>
        <w:rPr>
          <w:b w:val="0"/>
          <w:i w:val="0"/>
        </w:rPr>
        <w:t>.</w:t>
      </w:r>
    </w:p>
    <w:p>
      <w:r>
        <w:rPr>
          <w:b/>
          <w:i w:val="0"/>
        </w:rPr>
        <w:t>Suivi de l'accord</w:t>
      </w:r>
    </w:p>
    <w:p>
      <w:r>
        <w:rPr>
          <w:b w:val="0"/>
          <w:i w:val="0"/>
        </w:rPr>
        <w:t xml:space="preserve">Un bilan quantitatif et qualitatif de l'application de l'accord est établi et présenté chaque année au CSE central </w:t>
      </w:r>
      <w:r>
        <w:rPr>
          <w:b w:val="0"/>
          <w:i/>
          <w:color w:val="5B6578"/>
        </w:rPr>
        <w:t>(Art. 8.1)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CET (19/03/2021) et son avenant n°1 (31/01/2022).</w:t>
      </w:r>
    </w:p>
    <w:p>
      <w:r>
        <w:rPr>
          <w:b w:val="0"/>
          <w:i/>
          <w:color w:val="5B6578"/>
        </w:rPr>
        <w:t xml:space="preserve">Les références entre parenthèses renvoient aux articles de l'accord ou de l'avenant. Seul le texte intégral fait référence : </w:t>
      </w:r>
      <w:r>
        <w:rPr>
          <w:b w:val="0"/>
          <w:i/>
          <w:color w:val="5B6578"/>
        </w:rPr>
        <w:t>accord de base (PDF)</w:t>
      </w:r>
      <w:r>
        <w:rPr>
          <w:b w:val="0"/>
          <w:i/>
          <w:color w:val="5B6578"/>
        </w:rPr>
        <w:t xml:space="preserve"> et </w:t>
      </w:r>
      <w:r>
        <w:rPr>
          <w:b w:val="0"/>
          <w:i/>
          <w:color w:val="5B6578"/>
        </w:rPr>
        <w:t>avenant n°1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