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PV de désaccord NAO 2026</w:t>
      </w:r>
    </w:p>
    <w:p>
      <w:pPr>
        <w:pStyle w:val="Heading1"/>
      </w:pPr>
      <w:r>
        <w:rPr>
          <w:b w:val="0"/>
          <w:i w:val="0"/>
        </w:rPr>
        <w:t>Procès-verbal de désaccord — NAO 2026</w:t>
      </w:r>
    </w:p>
    <w:p>
      <w:pPr>
        <w:pStyle w:val="ListBullet"/>
      </w:pPr>
      <w:r>
        <w:rPr>
          <w:b/>
          <w:i w:val="0"/>
        </w:rPr>
        <w:t>Date :</w:t>
      </w:r>
      <w:r>
        <w:rPr>
          <w:b w:val="0"/>
          <w:i w:val="0"/>
        </w:rPr>
        <w:t xml:space="preserve"> 25 août 2026 (« Fait à Angers, le 25/08/2026 », en 5 exemplaires originaux), lue visuellement sur la page 5 du PDF</w:t>
      </w:r>
    </w:p>
    <w:p>
      <w:pPr>
        <w:pStyle w:val="ListBullet"/>
      </w:pPr>
      <w:r>
        <w:rPr>
          <w:b/>
          <w:i w:val="0"/>
        </w:rPr>
        <w:t>Signature visible :</w:t>
      </w:r>
      <w:r>
        <w:rPr>
          <w:b w:val="0"/>
          <w:i w:val="0"/>
        </w:rPr>
        <w:t xml:space="preserve"> « Pr Mario CAMPONE, Directeur Général ». Aucune autre signature n'apparaît sur le PDF</w:t>
      </w:r>
    </w:p>
    <w:p>
      <w:pPr>
        <w:pStyle w:val="ListBullet"/>
      </w:pPr>
      <w:r>
        <w:rPr>
          <w:b/>
          <w:i w:val="0"/>
        </w:rPr>
        <w:t>Source :</w:t>
      </w:r>
      <w:r>
        <w:rPr>
          <w:b w:val="0"/>
          <w:i w:val="0"/>
        </w:rPr>
        <w:t xml:space="preserve"> </w:t>
      </w:r>
      <w:r>
        <w:rPr>
          <w:b w:val="0"/>
          <w:i w:val="0"/>
        </w:rPr>
        <w:t>NAO 2026 _PV de désaccord signé.pdf</w:t>
      </w:r>
      <w:r>
        <w:rPr>
          <w:b w:val="0"/>
          <w:i w:val="0"/>
        </w:rPr>
        <w:t>, conservé dans le même dossier. Ce PDF est un scan imprimé en PDF (« Microsoft: Print To PDF »), sans texte sélectionnable, et il n'existe pas de Word</w:t>
      </w:r>
    </w:p>
    <w:p>
      <w:pPr>
        <w:pStyle w:val="ListBullet"/>
      </w:pPr>
      <w:r>
        <w:rPr>
          <w:b/>
          <w:i w:val="0"/>
        </w:rPr>
        <w:t>Relecture :</w:t>
      </w:r>
      <w:r>
        <w:rPr>
          <w:b w:val="0"/>
          <w:i w:val="0"/>
        </w:rPr>
        <w:t xml:space="preserve"> transcription refaite le 21/10/2026 en lisant les 6 pages une par une (l'OCR d'origine avait des erreurs, par exemple « 49,31 ETP » au lieu de 449,31, et un tableau illisible)</w:t>
      </w:r>
    </w:p>
    <w:p>
      <w:pPr>
        <w:pStyle w:val="ListBullet"/>
      </w:pPr>
      <w:r>
        <w:rPr>
          <w:b/>
          <w:i w:val="0"/>
        </w:rPr>
        <w:t>Ordre des pages :</w:t>
      </w:r>
      <w:r>
        <w:rPr>
          <w:b w:val="0"/>
          <w:i w:val="0"/>
        </w:rPr>
        <w:t xml:space="preserve"> dans le PDF, la page 5 (fin du 3-18, article 4 et signature) vient avant la page 6 (3-12 à 3-18). Le texte ci-dessous suit l'ordre logique : pages 1 à 4, puis 6, puis 5</w:t>
      </w:r>
    </w:p>
    <w:p>
      <w:r>
        <w:rPr>
          <w:color w:val="5B6578"/>
          <w:sz w:val="16"/>
        </w:rPr>
        <w:t>────────────────────────────────────────</w:t>
      </w:r>
    </w:p>
    <w:p>
      <w:pPr>
        <w:pStyle w:val="Heading2"/>
      </w:pPr>
      <w:r>
        <w:rPr>
          <w:b w:val="0"/>
          <w:i w:val="0"/>
        </w:rPr>
        <w:t>PROCES VERBAL DE DESACCORD</w:t>
      </w:r>
    </w:p>
    <w:p>
      <w:pPr>
        <w:pStyle w:val="Heading2"/>
      </w:pPr>
      <w:r>
        <w:rPr>
          <w:b w:val="0"/>
          <w:i w:val="0"/>
        </w:rPr>
        <w:t>Négociations Annuelles Obligatoires au titre de 2026</w:t>
      </w:r>
    </w:p>
    <w:p>
      <w:r>
        <w:rPr>
          <w:b w:val="0"/>
          <w:i w:val="0"/>
        </w:rPr>
        <w:t>Afin de mener les négociations annuelles obligatoires dans un cadre clair et connu de tous, il a été signé un accord de méthode le 22 janvier 2026.</w:t>
      </w:r>
    </w:p>
    <w:p>
      <w:r>
        <w:rPr>
          <w:b w:val="0"/>
          <w:i w:val="0"/>
        </w:rPr>
        <w:t>Conformément à celui-ci, des réunions se sont tenues dans le cadre des Négociations Annuelles Obligatoires aux dates suivantes :</w:t>
      </w:r>
    </w:p>
    <w:p>
      <w:r>
        <w:rPr>
          <w:b w:val="0"/>
          <w:i w:val="0"/>
        </w:rPr>
        <w:t>Réunion 1 : 5 février 2026</w:t>
      </w:r>
    </w:p>
    <w:p>
      <w:r>
        <w:rPr>
          <w:b w:val="0"/>
          <w:i w:val="0"/>
        </w:rPr>
        <w:t>Réunion 2 : 10 mars 2026</w:t>
      </w:r>
    </w:p>
    <w:p>
      <w:r>
        <w:rPr>
          <w:b w:val="0"/>
          <w:i w:val="0"/>
        </w:rPr>
        <w:t>Réunion 3 : initialement prévue le 7 avril 2026, la réunion 3 s'est finalement tenue le 2 avril 2026.</w:t>
      </w:r>
    </w:p>
    <w:p>
      <w:pPr>
        <w:pStyle w:val="Heading2"/>
      </w:pPr>
      <w:r>
        <w:rPr>
          <w:b w:val="0"/>
          <w:i w:val="0"/>
        </w:rPr>
        <w:t>1 – Les revendications transmises par écrit par les OS :</w:t>
      </w:r>
    </w:p>
    <w:p>
      <w:r>
        <w:rPr>
          <w:b w:val="0"/>
          <w:i w:val="0"/>
        </w:rPr>
        <w:t>Les revendications de SUD ont été les suivantes :</w:t>
      </w:r>
    </w:p>
    <w:p>
      <w:pPr>
        <w:pStyle w:val="ListBullet"/>
      </w:pPr>
      <w:r>
        <w:rPr>
          <w:b w:val="0"/>
          <w:i w:val="0"/>
        </w:rPr>
        <w:t>Augmentation de salaire : 40€ net par mois de A à H, 20€ net à partir de I à N et praticiens</w:t>
      </w:r>
    </w:p>
    <w:p>
      <w:pPr>
        <w:pStyle w:val="ListBullet"/>
      </w:pPr>
      <w:r>
        <w:rPr>
          <w:b w:val="0"/>
          <w:i w:val="0"/>
        </w:rPr>
        <w:t>Accord nuits : Revenir à l'ancien accord sur les départs en formation</w:t>
      </w:r>
    </w:p>
    <w:p>
      <w:pPr>
        <w:pStyle w:val="ListBullet"/>
      </w:pPr>
      <w:r>
        <w:rPr>
          <w:b w:val="0"/>
          <w:i w:val="0"/>
        </w:rPr>
        <w:t>Egalité FH : Non imputation des absences maladie 5 mois avant et après le départ en congé maternité</w:t>
      </w:r>
    </w:p>
    <w:p>
      <w:pPr>
        <w:pStyle w:val="ListBullet"/>
      </w:pPr>
      <w:r>
        <w:rPr>
          <w:b w:val="0"/>
          <w:i w:val="0"/>
        </w:rPr>
        <w:t>Parcours pro : technicien, secrétaire adm, …</w:t>
      </w:r>
    </w:p>
    <w:p>
      <w:pPr>
        <w:pStyle w:val="ListBullet"/>
      </w:pPr>
      <w:r>
        <w:rPr>
          <w:b w:val="0"/>
          <w:i w:val="0"/>
        </w:rPr>
        <w:t>GEPP : radiothérapie, imagerie</w:t>
      </w:r>
    </w:p>
    <w:p>
      <w:pPr>
        <w:pStyle w:val="ListBullet"/>
      </w:pPr>
      <w:r>
        <w:rPr>
          <w:b w:val="0"/>
          <w:i w:val="0"/>
        </w:rPr>
        <w:t>Revalorisation des MG pour le travail des dimanches et JF</w:t>
      </w:r>
    </w:p>
    <w:p>
      <w:pPr>
        <w:pStyle w:val="ListBullet"/>
      </w:pPr>
      <w:r>
        <w:rPr>
          <w:b w:val="0"/>
          <w:i w:val="0"/>
        </w:rPr>
        <w:t>Installation des MG pour le travail le samedi</w:t>
      </w:r>
    </w:p>
    <w:p>
      <w:r>
        <w:rPr>
          <w:b w:val="0"/>
          <w:i w:val="0"/>
        </w:rPr>
        <w:t>Les revendications de la CFE CGC ont été les suivantes :</w:t>
      </w:r>
    </w:p>
    <w:p>
      <w:pPr>
        <w:pStyle w:val="ListBullet"/>
      </w:pPr>
      <w:r>
        <w:rPr>
          <w:b w:val="0"/>
          <w:i w:val="0"/>
        </w:rPr>
        <w:t>Taux de BIC supérieur à 0,6% : demande 1% bacable</w:t>
      </w:r>
    </w:p>
    <w:p>
      <w:pPr>
        <w:pStyle w:val="ListBullet"/>
      </w:pPr>
      <w:r>
        <w:rPr>
          <w:b w:val="0"/>
          <w:i w:val="0"/>
        </w:rPr>
        <w:t>Congés enfant malade :</w:t>
      </w:r>
    </w:p>
    <w:p>
      <w:pPr>
        <w:pStyle w:val="ListBullet"/>
      </w:pPr>
      <w:r>
        <w:rPr>
          <w:b w:val="0"/>
          <w:i w:val="0"/>
        </w:rPr>
        <w:t>Demande une pose possible en demi-journée (Pas possible sur Chronos actuellement).</w:t>
      </w:r>
    </w:p>
    <w:p>
      <w:pPr>
        <w:pStyle w:val="ListBullet"/>
      </w:pPr>
      <w:r>
        <w:rPr>
          <w:b w:val="0"/>
          <w:i w:val="0"/>
        </w:rPr>
        <w:t>Eclaircir les règles au niveau RH et auprès des salariés avec des exemples en EM, EMH et les couples.</w:t>
      </w:r>
      <w:r>
        <w:rPr>
          <w:b w:val="0"/>
          <w:i w:val="0"/>
        </w:rPr>
        <w:t xml:space="preserve"> </w:t>
      </w:r>
    </w:p>
    <w:p>
      <w:pPr>
        <w:pStyle w:val="ListBullet"/>
      </w:pPr>
      <w:r>
        <w:rPr>
          <w:b w:val="0"/>
          <w:i w:val="0"/>
        </w:rPr>
        <w:t>Cas d'un salarié qui travaille le matin et part dans la journée. La pose d'un EM écrase le temps travaillé. Certains cadres vont recréditer le temps et pas d'autres.</w:t>
      </w:r>
    </w:p>
    <w:p>
      <w:pPr>
        <w:pStyle w:val="ListBullet"/>
      </w:pPr>
      <w:r>
        <w:rPr>
          <w:b w:val="0"/>
          <w:i w:val="0"/>
        </w:rPr>
        <w:t>Cas également où les 2 parents travaillent à l'ICO. Les règles de prise des EM par les 2 parents ne sont pas claires. Ils ne peuvent pas prendre tous les 2 les EM.</w:t>
      </w:r>
    </w:p>
    <w:p>
      <w:pPr>
        <w:pStyle w:val="ListBullet"/>
      </w:pPr>
      <w:r>
        <w:rPr>
          <w:b w:val="0"/>
          <w:i w:val="0"/>
        </w:rPr>
        <w:t>Liste des catégories prof éligibles au Ségur 1 et 2 (Certaines catégories sont au contact des patients et ne bénéficient pas du Ségur comme les assistantes sociales, les brancardiers)</w:t>
      </w:r>
    </w:p>
    <w:p>
      <w:pPr>
        <w:pStyle w:val="ListBullet"/>
      </w:pPr>
      <w:r>
        <w:rPr>
          <w:b w:val="0"/>
          <w:i w:val="0"/>
        </w:rPr>
        <w:t>Semaine de travail sur 4 jours pour certains cadres ou services</w:t>
      </w:r>
    </w:p>
    <w:p>
      <w:r>
        <w:rPr>
          <w:b w:val="0"/>
          <w:i w:val="0"/>
        </w:rPr>
        <w:t>Les revendications de FO ont été les suivantes :</w:t>
      </w:r>
    </w:p>
    <w:p>
      <w:pPr>
        <w:pStyle w:val="ListBullet"/>
      </w:pPr>
      <w:r>
        <w:rPr>
          <w:b w:val="0"/>
          <w:i w:val="0"/>
        </w:rPr>
        <w:t>Augmentation Générale (AG) structurée en deux étages pour contrer l'inflation :</w:t>
      </w:r>
    </w:p>
    <w:p>
      <w:pPr>
        <w:pStyle w:val="ListBullet"/>
      </w:pPr>
      <w:r>
        <w:rPr>
          <w:b w:val="0"/>
          <w:i w:val="0"/>
        </w:rPr>
        <w:t>Une augmentation forfaitaire de 150 € nets mensuels pour tous les salariés des groupes A à E.</w:t>
      </w:r>
    </w:p>
    <w:p>
      <w:pPr>
        <w:pStyle w:val="ListBullet"/>
      </w:pPr>
      <w:r>
        <w:rPr>
          <w:b w:val="0"/>
          <w:i w:val="0"/>
        </w:rPr>
        <w:t>Le Rattrapage de l'inflation avec une AG de 3% pour tout le monde</w:t>
      </w:r>
    </w:p>
    <w:p>
      <w:pPr>
        <w:pStyle w:val="ListBullet"/>
      </w:pPr>
      <w:r>
        <w:rPr>
          <w:b w:val="0"/>
          <w:i w:val="0"/>
        </w:rPr>
        <w:t>Prise en charge à 100% de la mutuelle</w:t>
      </w:r>
    </w:p>
    <w:p>
      <w:pPr>
        <w:pStyle w:val="ListBullet"/>
      </w:pPr>
      <w:r>
        <w:rPr>
          <w:b w:val="0"/>
          <w:i w:val="0"/>
        </w:rPr>
        <w:t>BIC à 1% Baccable pour 2026</w:t>
      </w:r>
    </w:p>
    <w:p>
      <w:pPr>
        <w:pStyle w:val="ListBullet"/>
      </w:pPr>
      <w:r>
        <w:rPr>
          <w:b w:val="0"/>
          <w:i w:val="0"/>
        </w:rPr>
        <w:t>Famille : Chèque Emploi Service Universel (CESU) préfinancé avec une dotation annuelle de CESU (ex: 300€ ou 500€) pour la garde d'enfants, le soutien scolaire ou l'aide à domicile.</w:t>
      </w:r>
    </w:p>
    <w:p>
      <w:pPr>
        <w:pStyle w:val="ListBullet"/>
      </w:pPr>
      <w:r>
        <w:rPr>
          <w:b w:val="0"/>
          <w:i w:val="0"/>
        </w:rPr>
        <w:t>Alimentation (Lutte contre l'inflation) : Titres Restaurant (TR) au plafond maximal 11,97€</w:t>
      </w:r>
    </w:p>
    <w:p>
      <w:pPr>
        <w:pStyle w:val="ListBullet"/>
      </w:pPr>
      <w:r>
        <w:rPr>
          <w:b w:val="0"/>
          <w:i w:val="0"/>
        </w:rPr>
        <w:t>Mobilité : augmentation du Forfait Mobilité Durable (FMD) +: 700€</w:t>
      </w:r>
    </w:p>
    <w:p>
      <w:pPr>
        <w:pStyle w:val="ListBullet"/>
      </w:pPr>
      <w:r>
        <w:rPr>
          <w:b w:val="0"/>
          <w:i w:val="0"/>
        </w:rPr>
        <w:t>Ancienneté Technique</w:t>
      </w:r>
    </w:p>
    <w:p>
      <w:pPr>
        <w:pStyle w:val="ListBullet"/>
      </w:pPr>
      <w:r>
        <w:rPr>
          <w:b w:val="0"/>
          <w:i w:val="0"/>
        </w:rPr>
        <w:t>La Prime de Technicité" pour les salariés ayant plus de 20 ans de carrière</w:t>
      </w:r>
    </w:p>
    <w:p>
      <w:pPr>
        <w:pStyle w:val="ListBullet"/>
      </w:pPr>
      <w:r>
        <w:rPr>
          <w:b w:val="0"/>
          <w:i w:val="0"/>
        </w:rPr>
        <w:t>Création de deux jours de congés accordés aux salariés de plus de 20 ans à l'ICO.</w:t>
      </w:r>
    </w:p>
    <w:p>
      <w:pPr>
        <w:pStyle w:val="ListBullet"/>
      </w:pPr>
      <w:r>
        <w:rPr>
          <w:b w:val="0"/>
          <w:i w:val="0"/>
        </w:rPr>
        <w:t>Congés &amp; Temps</w:t>
      </w:r>
    </w:p>
    <w:p>
      <w:pPr>
        <w:pStyle w:val="ListBullet"/>
      </w:pPr>
      <w:r>
        <w:rPr>
          <w:b w:val="0"/>
          <w:i w:val="0"/>
        </w:rPr>
        <w:t>Abondement du CET vers le PERCO : o Si un salarié transfère ses jours de CET vers un Plan Épargne Retraite (PERCO), l'employeur abonde de 20% ou 30%.</w:t>
      </w:r>
    </w:p>
    <w:p>
      <w:pPr>
        <w:pStyle w:val="ListBullet"/>
      </w:pPr>
      <w:r>
        <w:rPr>
          <w:b w:val="0"/>
          <w:i w:val="0"/>
        </w:rPr>
        <w:t>Intégrer les SEGUR au RMAG</w:t>
      </w:r>
    </w:p>
    <w:p>
      <w:r>
        <w:rPr>
          <w:b w:val="0"/>
          <w:i w:val="0"/>
        </w:rPr>
        <w:t>Ces 1ères revendications de FO ont été complétées par une déclaration faite le 2 février 2026 posant notamment les points suivants :</w:t>
      </w:r>
    </w:p>
    <w:p>
      <w:pPr>
        <w:pStyle w:val="Heading2"/>
      </w:pPr>
      <w:r>
        <w:rPr>
          <w:b w:val="0"/>
          <w:i w:val="0"/>
        </w:rPr>
        <w:t>2 – Les propositions initiales de la direction :</w:t>
      </w:r>
    </w:p>
    <w:p>
      <w:r>
        <w:rPr>
          <w:b w:val="0"/>
          <w:i w:val="0"/>
        </w:rPr>
        <w:t>La Direction, après avoir rappelé que l'accord d'intéressement 2025-27 emporte une enveloppe potentielle conséquente, précise ne pas faire de proposition spontanée.</w:t>
      </w:r>
    </w:p>
    <w:p>
      <w:pPr>
        <w:pStyle w:val="Heading2"/>
      </w:pPr>
      <w:r>
        <w:rPr>
          <w:b w:val="0"/>
          <w:i w:val="0"/>
        </w:rPr>
        <w:t>3 – Analyse des revendications et positions de la direction :</w:t>
      </w:r>
    </w:p>
    <w:p>
      <w:pPr>
        <w:pStyle w:val="Heading3"/>
      </w:pPr>
      <w:r>
        <w:rPr>
          <w:b w:val="0"/>
          <w:i w:val="0"/>
        </w:rPr>
        <w:t>3-1 – Forfait mobilité durable :</w:t>
      </w:r>
    </w:p>
    <w:p>
      <w:r>
        <w:rPr>
          <w:b w:val="0"/>
          <w:i w:val="0"/>
        </w:rPr>
        <w:t>La demande de passer le forfait mobilité durable (FMD) à 700 € n'est pas retenue :</w:t>
      </w:r>
    </w:p>
    <w:p>
      <w:pPr>
        <w:pStyle w:val="ListBullet"/>
      </w:pPr>
      <w:r>
        <w:rPr>
          <w:b w:val="0"/>
          <w:i w:val="0"/>
        </w:rPr>
        <w:t>Le plafond d'exonération est à 600 € annuels,</w:t>
      </w:r>
    </w:p>
    <w:p>
      <w:pPr>
        <w:pStyle w:val="ListBullet"/>
      </w:pPr>
      <w:r>
        <w:rPr>
          <w:b w:val="0"/>
          <w:i w:val="0"/>
        </w:rPr>
        <w:t>Le versement du forfait de mobilité durable ne concerne que 20% de l'effectif</w:t>
      </w:r>
    </w:p>
    <w:p>
      <w:r>
        <w:rPr>
          <w:b w:val="0"/>
          <w:i w:val="0"/>
        </w:rPr>
        <w:t>En outre l'observation d'une dérive nous amène à envisager un aménagement du dispositif actuel avec des seuils, comme par exemple :</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Nombre de déplacements en MD sur l'année</w:t>
            </w:r>
          </w:p>
        </w:tc>
        <w:tc>
          <w:tcPr>
            <w:tcW w:type="dxa" w:w="4320"/>
          </w:tcPr>
          <w:p>
            <w:r/>
            <w:r>
              <w:rPr>
                <w:b/>
              </w:rPr>
              <w:t>Montant nominal du FMD</w:t>
            </w:r>
          </w:p>
        </w:tc>
      </w:tr>
      <w:tr>
        <w:tc>
          <w:tcPr>
            <w:tcW w:type="dxa" w:w="4320"/>
          </w:tcPr>
          <w:p>
            <w:r/>
            <w:r>
              <w:rPr>
                <w:b w:val="0"/>
              </w:rPr>
              <w:t>66% à 100% (soit &gt; à 136 jours)</w:t>
            </w:r>
          </w:p>
        </w:tc>
        <w:tc>
          <w:tcPr>
            <w:tcW w:type="dxa" w:w="4320"/>
          </w:tcPr>
          <w:p>
            <w:r/>
            <w:r>
              <w:rPr>
                <w:b w:val="0"/>
              </w:rPr>
              <w:t>300 €</w:t>
            </w:r>
          </w:p>
        </w:tc>
      </w:tr>
      <w:tr>
        <w:tc>
          <w:tcPr>
            <w:tcW w:type="dxa" w:w="4320"/>
          </w:tcPr>
          <w:p>
            <w:r/>
            <w:r>
              <w:rPr>
                <w:b w:val="0"/>
              </w:rPr>
              <w:t>33 % à 65,99% (soit entre 68 et 136 jours)</w:t>
            </w:r>
          </w:p>
        </w:tc>
        <w:tc>
          <w:tcPr>
            <w:tcW w:type="dxa" w:w="4320"/>
          </w:tcPr>
          <w:p>
            <w:r/>
            <w:r>
              <w:rPr>
                <w:b w:val="0"/>
              </w:rPr>
              <w:t>200 €</w:t>
            </w:r>
          </w:p>
        </w:tc>
      </w:tr>
      <w:tr>
        <w:tc>
          <w:tcPr>
            <w:tcW w:type="dxa" w:w="4320"/>
          </w:tcPr>
          <w:p>
            <w:r/>
            <w:r>
              <w:rPr>
                <w:b w:val="0"/>
              </w:rPr>
              <w:t>1 à 33% (soit entre un jour et 67 jours)</w:t>
            </w:r>
          </w:p>
        </w:tc>
        <w:tc>
          <w:tcPr>
            <w:tcW w:type="dxa" w:w="4320"/>
          </w:tcPr>
          <w:p>
            <w:r/>
            <w:r>
              <w:rPr>
                <w:b w:val="0"/>
              </w:rPr>
              <w:t>100 €</w:t>
            </w:r>
          </w:p>
        </w:tc>
      </w:tr>
    </w:tbl>
    <w:p/>
    <w:p>
      <w:r>
        <w:rPr>
          <w:b w:val="0"/>
          <w:i w:val="0"/>
        </w:rPr>
        <w:t>Le tout assorti de contrôle.</w:t>
      </w:r>
    </w:p>
    <w:p>
      <w:pPr>
        <w:pStyle w:val="Heading3"/>
      </w:pPr>
      <w:r>
        <w:rPr>
          <w:b w:val="0"/>
          <w:i w:val="0"/>
        </w:rPr>
        <w:t>3-2 – Demande d'augmentation de 40 € nets pour les groupes A à H :</w:t>
      </w:r>
    </w:p>
    <w:p>
      <w:r>
        <w:rPr>
          <w:b w:val="0"/>
          <w:i w:val="0"/>
        </w:rPr>
        <w:t>40 € nets correspondent environ à 49,20 € bruts mensuels, soit 590 € bruts sur un an ou 915 € chargés</w:t>
      </w:r>
    </w:p>
    <w:p>
      <w:r>
        <w:rPr>
          <w:b w:val="0"/>
          <w:i w:val="0"/>
        </w:rPr>
        <w:t>Groupe A à H : il y a 1097,23 ETP.</w:t>
      </w:r>
    </w:p>
    <w:p>
      <w:r>
        <w:rPr>
          <w:b w:val="0"/>
          <w:i w:val="0"/>
        </w:rPr>
        <w:t>La demande pèse 1.004.097 € chargés en rythme annuel.</w:t>
      </w:r>
    </w:p>
    <w:p>
      <w:r>
        <w:rPr>
          <w:b w:val="0"/>
          <w:i w:val="0"/>
        </w:rPr>
        <w:t>Nous ne donnons pas suite à cette demande.</w:t>
      </w:r>
    </w:p>
    <w:p>
      <w:pPr>
        <w:pStyle w:val="Heading3"/>
      </w:pPr>
      <w:r>
        <w:rPr>
          <w:b w:val="0"/>
          <w:i w:val="0"/>
        </w:rPr>
        <w:t>3-3 – Demande d'augmentation de +20 € nets pour les cadres et praticiens :</w:t>
      </w:r>
    </w:p>
    <w:p>
      <w:r>
        <w:rPr>
          <w:b w:val="0"/>
          <w:i w:val="0"/>
        </w:rPr>
        <w:t>Cela représente 24,6 € bruts mensuels 295 € bruts annuels ou 457 € chargés annuels</w:t>
      </w:r>
    </w:p>
    <w:p>
      <w:r>
        <w:rPr>
          <w:b w:val="0"/>
          <w:i w:val="0"/>
        </w:rPr>
        <w:t>Cela vise 404,58 ETP.</w:t>
      </w:r>
    </w:p>
    <w:p>
      <w:r>
        <w:rPr>
          <w:b w:val="0"/>
          <w:i w:val="0"/>
        </w:rPr>
        <w:t>La demande pèse 185.119 € chargés en rythme annuel.</w:t>
      </w:r>
    </w:p>
    <w:p>
      <w:r>
        <w:rPr>
          <w:b w:val="0"/>
          <w:i w:val="0"/>
        </w:rPr>
        <w:t>Nous ne donnons pas suite à cette demande.</w:t>
      </w:r>
    </w:p>
    <w:p>
      <w:pPr>
        <w:pStyle w:val="Heading3"/>
      </w:pPr>
      <w:r>
        <w:rPr>
          <w:b w:val="0"/>
          <w:i w:val="0"/>
        </w:rPr>
        <w:t>3-4 – Demande d'une augmentation de 150 € nets pour les groupes A à E :</w:t>
      </w:r>
    </w:p>
    <w:p>
      <w:r>
        <w:rPr>
          <w:b w:val="0"/>
          <w:i w:val="0"/>
        </w:rPr>
        <w:t>150 € nets correspondent à environ 184,50 € bruts ou 286 € chargés mensuels</w:t>
      </w:r>
    </w:p>
    <w:p>
      <w:r>
        <w:rPr>
          <w:b w:val="0"/>
          <w:i w:val="0"/>
        </w:rPr>
        <w:t>Groupe A à E : il y a 449,31 ETP</w:t>
      </w:r>
    </w:p>
    <w:p>
      <w:r>
        <w:rPr>
          <w:b w:val="0"/>
          <w:i w:val="0"/>
        </w:rPr>
        <w:t>La demande pèse 1.541.897 € en rythme annuel.</w:t>
      </w:r>
    </w:p>
    <w:p>
      <w:r>
        <w:rPr>
          <w:b w:val="0"/>
          <w:i w:val="0"/>
        </w:rPr>
        <w:t>Nous ne donnons pas suite cette demande.</w:t>
      </w:r>
    </w:p>
    <w:p>
      <w:pPr>
        <w:pStyle w:val="Heading3"/>
      </w:pPr>
      <w:r>
        <w:rPr>
          <w:b w:val="0"/>
          <w:i w:val="0"/>
        </w:rPr>
        <w:t>3-5 – Demande de CESU Préfinancé :</w:t>
      </w:r>
    </w:p>
    <w:p>
      <w:r>
        <w:rPr>
          <w:b w:val="0"/>
          <w:i w:val="0"/>
        </w:rPr>
        <w:t>A une hauteur comprise entre 300 et 500 €.</w:t>
      </w:r>
    </w:p>
    <w:p>
      <w:r>
        <w:rPr>
          <w:b w:val="0"/>
          <w:i w:val="0"/>
        </w:rPr>
        <w:t>Cela représente une enveloppe comprise entre (1501,82 *300 ou * 500) 450 K€ et 751 K€.</w:t>
      </w:r>
    </w:p>
    <w:p>
      <w:r>
        <w:rPr>
          <w:b w:val="0"/>
          <w:i w:val="0"/>
        </w:rPr>
        <w:t>Sans précisions sur ce qui peut être octroyé en alternative au dispositif CESU pour les salariés qui ne souhaitent pas de CESU ni sur le sens de la demande, et face au montant conséquent de l'enveloppe, nous ne donnons pas suite.</w:t>
      </w:r>
    </w:p>
    <w:p>
      <w:pPr>
        <w:pStyle w:val="Heading3"/>
      </w:pPr>
      <w:r>
        <w:rPr>
          <w:b w:val="0"/>
          <w:i w:val="0"/>
        </w:rPr>
        <w:t>3-6 – Demande de chèques déjeuners au plafond de 11,97 € :</w:t>
      </w:r>
    </w:p>
    <w:p>
      <w:r>
        <w:rPr>
          <w:b w:val="0"/>
          <w:i w:val="0"/>
        </w:rPr>
        <w:t>Le plafond 2026 est légèrement supérieur (12.20 €). La distribution de chèque déjeuner à tous les salariés de l'ICO implique une enveloppe annuelle légèrement supérieure à 2.250.000 €.</w:t>
      </w:r>
    </w:p>
    <w:p>
      <w:r>
        <w:rPr>
          <w:b w:val="0"/>
          <w:i w:val="0"/>
        </w:rPr>
        <w:t>En parallèle, l'employeur participe à la prise en charge des déjeuners aux cantines des CHU voisins des 2 sites et les salariés bénéficient d'une remise sur le tarif public des cafétaria de chaque site.</w:t>
      </w:r>
    </w:p>
    <w:p>
      <w:r>
        <w:rPr>
          <w:b w:val="0"/>
          <w:i w:val="0"/>
        </w:rPr>
        <w:t>Nous ne donnons pas suite à la demande.</w:t>
      </w:r>
    </w:p>
    <w:p>
      <w:pPr>
        <w:pStyle w:val="Heading3"/>
      </w:pPr>
      <w:r>
        <w:rPr>
          <w:b w:val="0"/>
          <w:i w:val="0"/>
        </w:rPr>
        <w:t>3-7 : demande de revalorisation des MG et installation d'une prime de samedi :</w:t>
      </w:r>
    </w:p>
    <w:p>
      <w:r>
        <w:rPr>
          <w:b w:val="0"/>
          <w:i w:val="0"/>
        </w:rPr>
        <w:t>La direction ne donne pas suite à cette demande.</w:t>
      </w:r>
    </w:p>
    <w:p>
      <w:pPr>
        <w:pStyle w:val="Heading3"/>
      </w:pPr>
      <w:r>
        <w:rPr>
          <w:b w:val="0"/>
          <w:i w:val="0"/>
        </w:rPr>
        <w:t>3-8 – Demande d'une prise en charge de la mutuelle à 100% par l'employeur</w:t>
      </w:r>
    </w:p>
    <w:p>
      <w:r>
        <w:rPr>
          <w:b w:val="0"/>
          <w:i w:val="0"/>
        </w:rPr>
        <w:t>Nous ne donnons pas suite à cette demande : nous maintenons le taux de participation de l'employeur à 75% pour le régime de base</w:t>
      </w:r>
    </w:p>
    <w:p>
      <w:pPr>
        <w:pStyle w:val="Heading3"/>
      </w:pPr>
      <w:r>
        <w:rPr>
          <w:b w:val="0"/>
          <w:i w:val="0"/>
        </w:rPr>
        <w:t>3-9 – Demande d'intégration des primes Ségur au salarie de base :</w:t>
      </w:r>
    </w:p>
    <w:p>
      <w:r>
        <w:rPr>
          <w:b w:val="0"/>
          <w:i w:val="0"/>
        </w:rPr>
        <w:t>Nous ne donnons pas suite à cette demande qui conduit à déformer les grilles de rémunération conventionnelle.</w:t>
      </w:r>
    </w:p>
    <w:p>
      <w:pPr>
        <w:pStyle w:val="Heading3"/>
      </w:pPr>
      <w:r>
        <w:rPr>
          <w:b w:val="0"/>
          <w:i w:val="0"/>
        </w:rPr>
        <w:t>3-10 – Demande d'abondement de l'employeur lors de la bascule de jour du CET vers le PERCO :</w:t>
      </w:r>
    </w:p>
    <w:p>
      <w:r>
        <w:rPr>
          <w:b w:val="0"/>
          <w:i w:val="0"/>
        </w:rPr>
        <w:t>Le dispositif en place permet déjà cela à hauteur 15%, dans la limite de 10 jours par an. Nous n'allons pas au-delà de ce dispositif.</w:t>
      </w:r>
    </w:p>
    <w:p>
      <w:pPr>
        <w:pStyle w:val="Heading3"/>
      </w:pPr>
      <w:r>
        <w:rPr>
          <w:b w:val="0"/>
          <w:i w:val="0"/>
        </w:rPr>
        <w:t>3 – 11 – Enfants malade : demande de pause de demi-journées enfants malade</w:t>
      </w:r>
    </w:p>
    <w:p>
      <w:r>
        <w:rPr>
          <w:b w:val="0"/>
          <w:i w:val="0"/>
        </w:rPr>
        <w:t>Nous restons dans le cadre prévu par le CCN (à savoir pause par journée entières). Mais nous proposons d'enregistrer les temps travaillés badgés dans le compteur CTD de Chronos.</w:t>
      </w:r>
    </w:p>
    <w:p>
      <w:pPr>
        <w:pStyle w:val="Heading3"/>
      </w:pPr>
      <w:r>
        <w:rPr>
          <w:b w:val="0"/>
          <w:i w:val="0"/>
        </w:rPr>
        <w:t>3-12 – Demande de passage à la semaine de travail en 4 jours pour certains cadres de certains services :</w:t>
      </w:r>
    </w:p>
    <w:p>
      <w:r>
        <w:rPr>
          <w:b w:val="0"/>
          <w:i w:val="0"/>
        </w:rPr>
        <w:t>Actuellement, un cadre temps plein, bénéficie de 6 semaines de CP et de 15 à 17 JRTT pour arriver à 206 jours de travail (qui est la référence du temps plein).</w:t>
      </w:r>
    </w:p>
    <w:p>
      <w:r>
        <w:rPr>
          <w:b w:val="0"/>
          <w:i w:val="0"/>
        </w:rPr>
        <w:t>La semaine de 4 jours amènerait de facto à (206+17-46=) 177 jours de travail. Cela nécessiterait de revenir sur l'accord temps de travail des cadres. Nous ne l'envisageons pas.</w:t>
      </w:r>
    </w:p>
    <w:p>
      <w:r>
        <w:rPr>
          <w:b w:val="0"/>
          <w:i w:val="0"/>
        </w:rPr>
        <w:t>C'est pourquoi nous ne donnons pas suite à cette demande.</w:t>
      </w:r>
    </w:p>
    <w:p>
      <w:pPr>
        <w:pStyle w:val="Heading3"/>
      </w:pPr>
      <w:r>
        <w:rPr>
          <w:b w:val="0"/>
          <w:i w:val="0"/>
        </w:rPr>
        <w:t>3-13 – Travail de nuit et temps de formation :</w:t>
      </w:r>
    </w:p>
    <w:p>
      <w:r>
        <w:rPr>
          <w:b w:val="0"/>
          <w:i w:val="0"/>
        </w:rPr>
        <w:t>Il a été demandé de revenir à l'accord en place avant 2013.</w:t>
      </w:r>
    </w:p>
    <w:p>
      <w:r>
        <w:rPr>
          <w:b w:val="0"/>
          <w:i w:val="0"/>
        </w:rPr>
        <w:t>Engagement pris d'ouvrir une négociation sur ce dossier dans le cours de l'année 2026.</w:t>
      </w:r>
    </w:p>
    <w:p>
      <w:pPr>
        <w:pStyle w:val="Heading3"/>
      </w:pPr>
      <w:r>
        <w:rPr>
          <w:b w:val="0"/>
          <w:i w:val="0"/>
        </w:rPr>
        <w:t>3-14 – Demande d'une prime pour tous les salariés ayant plus de 20 ans de carrière :</w:t>
      </w:r>
    </w:p>
    <w:p>
      <w:r>
        <w:rPr>
          <w:b w:val="0"/>
          <w:i w:val="0"/>
        </w:rPr>
        <w:t>Nous ne donnons pas suite à cette demande.</w:t>
      </w:r>
    </w:p>
    <w:p>
      <w:pPr>
        <w:pStyle w:val="Heading3"/>
      </w:pPr>
      <w:r>
        <w:rPr>
          <w:b w:val="0"/>
          <w:i w:val="0"/>
        </w:rPr>
        <w:t>3-15 – Demande de la création de 2 jours de congés supplémentaire pour les salariés ayant plus de 20 ans d'ancienneté à l'ICO :</w:t>
      </w:r>
    </w:p>
    <w:p>
      <w:r>
        <w:rPr>
          <w:b w:val="0"/>
          <w:i w:val="0"/>
        </w:rPr>
        <w:t>Nous ne donnons pas suite à cette demande.</w:t>
      </w:r>
    </w:p>
    <w:p>
      <w:pPr>
        <w:pStyle w:val="Heading3"/>
      </w:pPr>
      <w:r>
        <w:rPr>
          <w:b w:val="0"/>
          <w:i w:val="0"/>
        </w:rPr>
        <w:t>3-16 – demande d'une BIC bacable à 1%</w:t>
      </w:r>
    </w:p>
    <w:p>
      <w:r>
        <w:rPr>
          <w:b w:val="0"/>
          <w:i w:val="0"/>
        </w:rPr>
        <w:t>Le 0,4 % supplémentaire a pesé 128 K€ brut en 2025, soit environ 200 K€ chargés.</w:t>
      </w:r>
    </w:p>
    <w:p>
      <w:r>
        <w:rPr>
          <w:b w:val="0"/>
          <w:i w:val="0"/>
        </w:rPr>
        <w:t>Si nous partons en mode « bacable », ça pèsera 200 K€ en 2026, 400 K€ l'année suivante (200 de BIC et 200 de BAC), 600 K€ l'année suivante (200 de BIC et 400 de BAC), 800 K€ l'année suivante (200 de BIC et 600 de BAC) ...</w:t>
      </w:r>
    </w:p>
    <w:p>
      <w:r>
        <w:rPr>
          <w:b w:val="0"/>
          <w:i w:val="0"/>
        </w:rPr>
        <w:t>Nous ne souhaitons pas nous engager dans cette voie.</w:t>
      </w:r>
    </w:p>
    <w:p>
      <w:pPr>
        <w:pStyle w:val="Heading3"/>
      </w:pPr>
      <w:r>
        <w:rPr>
          <w:b w:val="0"/>
          <w:i w:val="0"/>
        </w:rPr>
        <w:t>3-17 – Demande d'une augmentation générale de 3% pour tout le monde :</w:t>
      </w:r>
    </w:p>
    <w:p>
      <w:r>
        <w:rPr>
          <w:b w:val="0"/>
          <w:i w:val="0"/>
        </w:rPr>
        <w:t>La masse salariale 2024 brute s'élève à 69.607.203 € annuels (base bilan social 2024)</w:t>
      </w:r>
    </w:p>
    <w:p>
      <w:r>
        <w:rPr>
          <w:b w:val="0"/>
          <w:i w:val="0"/>
        </w:rPr>
        <w:t>L'augmentation demandée pèse donc 2.088.216 € bruts soit 3.236.734 € chargés</w:t>
      </w:r>
    </w:p>
    <w:p>
      <w:r>
        <w:rPr>
          <w:b w:val="0"/>
          <w:i w:val="0"/>
        </w:rPr>
        <w:t>Nous ne donnons pas suite à cette demande.</w:t>
      </w:r>
    </w:p>
    <w:p>
      <w:pPr>
        <w:pStyle w:val="Heading3"/>
      </w:pPr>
      <w:r>
        <w:rPr>
          <w:b w:val="0"/>
          <w:i w:val="0"/>
        </w:rPr>
        <w:t>3-18 – Demande spécifique de FO :</w:t>
      </w:r>
    </w:p>
    <w:p>
      <w:pPr>
        <w:pStyle w:val="ListBullet"/>
      </w:pPr>
      <w:r>
        <w:rPr>
          <w:b w:val="0"/>
          <w:i w:val="0"/>
        </w:rPr>
        <w:t>Inscription à l'EPRD d'une ligne pesant 1,5% de la masse salariale pour les négociations,</w:t>
      </w:r>
    </w:p>
    <w:p>
      <w:pPr>
        <w:pStyle w:val="ListBullet"/>
      </w:pPr>
      <w:r>
        <w:rPr>
          <w:b w:val="0"/>
          <w:i w:val="0"/>
        </w:rPr>
        <w:t>Vote d'une demande de modification de l'EPRD 2026 en ce sens</w:t>
      </w:r>
    </w:p>
    <w:p>
      <w:r>
        <w:rPr>
          <w:b w:val="0"/>
          <w:i w:val="0"/>
        </w:rPr>
        <w:t>Nous prenons bonne note du souhait que le pilier social de l'ICO soit sanctuarisé par l'ajout d'une ligne négociation à l'EPRD.</w:t>
      </w:r>
    </w:p>
    <w:p>
      <w:r>
        <w:rPr>
          <w:b w:val="0"/>
          <w:i w:val="0"/>
        </w:rPr>
        <w:t>Notre gestion ne vise pas à augmenter les dépenses sans avoir de vue stable sur les recettes. Nous nous inscrivons dans une démarche qui vise à dépenser les résultats confirmés et non des gains hypothétiques.</w:t>
      </w:r>
    </w:p>
    <w:p>
      <w:r>
        <w:rPr>
          <w:b w:val="0"/>
          <w:i w:val="0"/>
        </w:rPr>
        <w:t>C'est pour cela que nous n'irons pas au vote d'une DM visant à inscrire cette ligne à l'EPRD 2026.</w:t>
      </w:r>
    </w:p>
    <w:p>
      <w:r>
        <w:rPr>
          <w:b w:val="0"/>
          <w:i w:val="0"/>
        </w:rPr>
        <w:t>C'est également dans ce contexte que nous avons attendu d'avoir connaissance du résultat de l'exercice 2025 pour proposer une distribution de près de 40% du résultats social en abondement de l'intéressement au titre de cet exercice.</w:t>
      </w:r>
    </w:p>
    <w:p>
      <w:r>
        <w:rPr>
          <w:b w:val="0"/>
          <w:i w:val="0"/>
        </w:rPr>
        <w:t>Cela a consisté à distribuer 1.670.000 € de plus que prévu par nos accords. Cela répond d'une certaine manière au souhait qu'une ligne de 1.5% de la MS soit consacrée aux négociations. En effet, la MS 2025 s'est élevée à un peu moins de 75 M€ bruts. 1.5% de cette enveloppe représente 1.125.000 €.</w:t>
      </w:r>
    </w:p>
    <w:p>
      <w:pPr>
        <w:pStyle w:val="Heading2"/>
      </w:pPr>
      <w:r>
        <w:rPr>
          <w:b w:val="0"/>
          <w:i w:val="0"/>
        </w:rPr>
        <w:t>4 – Formalité de dépôt et de publicité</w:t>
      </w:r>
    </w:p>
    <w:p>
      <w:r>
        <w:rPr>
          <w:b w:val="0"/>
          <w:i w:val="0"/>
        </w:rPr>
        <w:t>Un exemplaire original est remis à chaque délégué syndical de l'ensemble des organisations syndicales représentatives de l'ICO.</w:t>
      </w:r>
    </w:p>
    <w:p>
      <w:r>
        <w:rPr>
          <w:b w:val="0"/>
          <w:i w:val="0"/>
        </w:rPr>
        <w:t>Le présent procès-verbal sera porté à la connaissance du personnel par sa mise en ligne sur l'intranet de l'entreprise.</w:t>
      </w:r>
    </w:p>
    <w:p>
      <w:r>
        <w:rPr>
          <w:b w:val="0"/>
          <w:i w:val="0"/>
        </w:rPr>
        <w:t>Le présent accord donnera lieu à dépôt dans les conditions prévues aux articles L. 2231-6 et D. 2231- 2 et suivants du code du travail. Il sera déposé :</w:t>
      </w:r>
    </w:p>
    <w:p>
      <w:pPr>
        <w:pStyle w:val="ListBullet"/>
      </w:pPr>
      <w:r>
        <w:rPr>
          <w:b w:val="0"/>
          <w:i w:val="0"/>
        </w:rPr>
        <w:t>Sur la plateforme de téléprocédure dénommée « TéléAccords » accompagné des pièces prévues aux articles D. 2231-6 et D. 2231-7 du code du travail (www.teleaccords.travail-emploi.gouv.fr/PortailTeleprocedures/).;</w:t>
      </w:r>
    </w:p>
    <w:p>
      <w:pPr>
        <w:pStyle w:val="ListBullet"/>
      </w:pPr>
      <w:r>
        <w:rPr>
          <w:b w:val="0"/>
          <w:i w:val="0"/>
        </w:rPr>
        <w:t>Et en un exemplaire auprès du secrétariat greffe du conseil de prud'hommes du lieu de sa conclusion.</w:t>
      </w:r>
    </w:p>
    <w:p>
      <w:r>
        <w:rPr>
          <w:b w:val="0"/>
          <w:i w:val="0"/>
        </w:rPr>
        <w:t>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w:t>
      </w:r>
    </w:p>
    <w:p>
      <w:r>
        <w:rPr>
          <w:b w:val="0"/>
          <w:i w:val="0"/>
        </w:rPr>
        <w:t>Fait à Angers,</w:t>
      </w:r>
    </w:p>
    <w:p>
      <w:r>
        <w:rPr>
          <w:b w:val="0"/>
          <w:i w:val="0"/>
        </w:rPr>
        <w:t>Le 25/08/2026</w:t>
      </w:r>
    </w:p>
    <w:p>
      <w:r>
        <w:rPr>
          <w:b w:val="0"/>
          <w:i w:val="0"/>
        </w:rPr>
        <w:t>En 5 exemplaires originaux</w:t>
      </w:r>
    </w:p>
    <w:p>
      <w:r>
        <w:rPr>
          <w:b w:val="0"/>
          <w:i w:val="0"/>
        </w:rPr>
        <w:t>Pr Mario CAMPONE, Directeur Général (signature manuscrite)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