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Parcours professionnel — Assistants Médicaux</w:t>
      </w:r>
    </w:p>
    <w:p>
      <w:pPr>
        <w:pStyle w:val="Heading1"/>
      </w:pPr>
      <w:r>
        <w:rPr>
          <w:b w:val="0"/>
          <w:i w:val="0"/>
        </w:rPr>
        <w:t>Parcours professionnel de l'Assistant Médical</w:t>
      </w:r>
    </w:p>
    <w:p>
      <w:r>
        <w:rPr>
          <w:b/>
          <w:i w:val="0"/>
        </w:rPr>
        <w:t>Qui est concerné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1)</w:t>
      </w:r>
    </w:p>
    <w:p>
      <w:r>
        <w:rPr>
          <w:b w:val="0"/>
          <w:i w:val="0"/>
        </w:rPr>
        <w:t xml:space="preserve">Vous, si vous êtes assistant médical classé en </w:t>
      </w:r>
      <w:r>
        <w:rPr>
          <w:b/>
          <w:i w:val="0"/>
        </w:rPr>
        <w:t>Groupe E</w:t>
      </w:r>
      <w:r>
        <w:rPr>
          <w:b w:val="0"/>
          <w:i w:val="0"/>
        </w:rPr>
        <w:t>, sur l'un des 2 sites de l'ICO.</w:t>
      </w:r>
    </w:p>
    <w:p>
      <w:r>
        <w:rPr>
          <w:b/>
          <w:i w:val="0"/>
        </w:rPr>
        <w:t>Le parcours normal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2-1, 2-2)</w:t>
      </w:r>
    </w:p>
    <w:p>
      <w:pPr>
        <w:pStyle w:val="ListBullet"/>
      </w:pPr>
      <w:r>
        <w:rPr>
          <w:b w:val="0"/>
          <w:i w:val="0"/>
        </w:rPr>
        <w:t>À l'embauche : Groupe E, RMAG 0, puis vous obtenez vos VAP selon le calendrier de la CCN UNICANCER</w:t>
      </w:r>
    </w:p>
    <w:p>
      <w:pPr>
        <w:pStyle w:val="ListBullet"/>
      </w:pPr>
      <w:r>
        <w:rPr>
          <w:b/>
          <w:i w:val="0"/>
        </w:rPr>
        <w:t>5 ans après votre VAP2 du Groupe E</w:t>
      </w:r>
      <w:r>
        <w:rPr>
          <w:b w:val="0"/>
          <w:i w:val="0"/>
        </w:rPr>
        <w:t xml:space="preserve"> → vous passez automatiquement au </w:t>
      </w:r>
      <w:r>
        <w:rPr>
          <w:b/>
          <w:i w:val="0"/>
        </w:rPr>
        <w:t>Groupe E1</w:t>
      </w:r>
      <w:r>
        <w:rPr>
          <w:b w:val="0"/>
          <w:i w:val="0"/>
        </w:rPr>
        <w:t>, au RMAG 1</w:t>
      </w:r>
    </w:p>
    <w:p>
      <w:pPr>
        <w:pStyle w:val="ListBullet"/>
      </w:pPr>
      <w:r>
        <w:rPr>
          <w:b/>
          <w:i w:val="0"/>
        </w:rPr>
        <w:t>5 ans après votre VAP2 du Groupe E1</w:t>
      </w:r>
      <w:r>
        <w:rPr>
          <w:b w:val="0"/>
          <w:i w:val="0"/>
        </w:rPr>
        <w:t xml:space="preserve"> → vous passez automatiquement au </w:t>
      </w:r>
      <w:r>
        <w:rPr>
          <w:b/>
          <w:i w:val="0"/>
        </w:rPr>
        <w:t>Groupe F</w:t>
      </w:r>
      <w:r>
        <w:rPr>
          <w:b w:val="0"/>
          <w:i w:val="0"/>
        </w:rPr>
        <w:t>, au RMAG 0</w:t>
      </w:r>
    </w:p>
    <w:p>
      <w:r>
        <w:rPr>
          <w:b/>
          <w:i w:val="0"/>
        </w:rPr>
        <w:t>Si vous étiez déjà au Groupe E à la signature de l'accord (11 mars 2025)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2-3)</w:t>
      </w:r>
    </w:p>
    <w:p>
      <w:pPr>
        <w:pStyle w:val="ListBullet"/>
      </w:pPr>
      <w:r>
        <w:rPr>
          <w:b/>
          <w:i w:val="0"/>
        </w:rPr>
        <w:t>En VAP2 depuis 15 ans ou plus</w:t>
      </w:r>
      <w:r>
        <w:rPr>
          <w:b w:val="0"/>
          <w:i w:val="0"/>
        </w:rPr>
        <w:t xml:space="preserve"> → vous passez </w:t>
      </w:r>
      <w:r>
        <w:rPr>
          <w:b/>
          <w:i w:val="0"/>
        </w:rPr>
        <w:t>directement</w:t>
      </w:r>
      <w:r>
        <w:rPr>
          <w:b w:val="0"/>
          <w:i w:val="0"/>
        </w:rPr>
        <w:t xml:space="preserve"> au Groupe F, RMAG 0</w:t>
      </w:r>
    </w:p>
    <w:p>
      <w:pPr>
        <w:pStyle w:val="ListBullet"/>
      </w:pPr>
      <w:r>
        <w:rPr>
          <w:b/>
          <w:i w:val="0"/>
        </w:rPr>
        <w:t>En VAP2 depuis moins de 15 ans</w:t>
      </w:r>
      <w:r>
        <w:rPr>
          <w:b w:val="0"/>
          <w:i w:val="0"/>
        </w:rPr>
        <w:t xml:space="preserve"> → vous passez d'abord en E1 selon les règles normales, puis vous basculez en F RMAG 0 dès que </w:t>
      </w:r>
      <w:r>
        <w:rPr>
          <w:b/>
          <w:i w:val="0"/>
        </w:rPr>
        <w:t>15 années civiles se sont écoulées depuis votre VAP2 du Groupe E</w:t>
      </w:r>
      <w:r>
        <w:rPr>
          <w:b w:val="0"/>
          <w:i w:val="0"/>
        </w:rPr>
        <w:t xml:space="preserve"> (et non 5 ans après votre VAP2 du Groupe E1 comme dans le parcours normal — ce chemin transitoire est donc plus rapide)</w:t>
      </w:r>
    </w:p>
    <w:p>
      <w:pPr>
        <w:pStyle w:val="ListBullet"/>
      </w:pPr>
      <w:r>
        <w:rPr>
          <w:b/>
          <w:i w:val="0"/>
        </w:rPr>
        <w:t>Si vous étiez en Groupe E, RMAG 0 ou RMAG 1</w:t>
      </w:r>
      <w:r>
        <w:rPr>
          <w:b w:val="0"/>
          <w:i w:val="0"/>
        </w:rPr>
        <w:t xml:space="preserve"> (VAP2 pas encore obtenue) : cette règle transitoire ne s'applique pas à vous — vous suivez le parcours normal ci-dessus</w:t>
      </w:r>
    </w:p>
    <w:p>
      <w:r>
        <w:rPr>
          <w:b/>
          <w:i w:val="0"/>
        </w:rPr>
        <w:t>Signataires</w:t>
      </w:r>
      <w:r>
        <w:rPr>
          <w:b w:val="0"/>
          <w:i w:val="0"/>
        </w:rPr>
        <w:t xml:space="preserve"> : ICO (Mario Campone, DG), CGT-FO (signature par délégation de Miguel Boisseau), Sud Santé-Sociaux, CFE-CGC. </w:t>
      </w:r>
      <w:r>
        <w:rPr>
          <w:b w:val="0"/>
          <w:i/>
          <w:color w:val="5B6578"/>
        </w:rPr>
        <w:t>(Pas de signataire CFDT.)</w:t>
      </w:r>
    </w:p>
    <w:p>
      <w:r>
        <w:rPr>
          <w:b/>
          <w:i w:val="0"/>
        </w:rPr>
        <w:t>Suivi de l'accord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4)</w:t>
      </w:r>
    </w:p>
    <w:p>
      <w:pPr>
        <w:pStyle w:val="ListBullet"/>
      </w:pPr>
      <w:r>
        <w:rPr>
          <w:b w:val="0"/>
          <w:i w:val="0"/>
        </w:rPr>
        <w:t xml:space="preserve">Accord conclu pour une </w:t>
      </w:r>
      <w:r>
        <w:rPr>
          <w:b/>
          <w:i w:val="0"/>
        </w:rPr>
        <w:t>durée indéterminée</w:t>
      </w:r>
      <w:r>
        <w:rPr>
          <w:b w:val="0"/>
          <w:i w:val="0"/>
        </w:rPr>
        <w:t xml:space="preserve">, entré en vigueur le 1er avril 2025 </w:t>
      </w:r>
      <w:r>
        <w:rPr>
          <w:b w:val="0"/>
          <w:i/>
          <w:color w:val="5B6578"/>
        </w:rPr>
        <w:t>(Art. 4.1)</w:t>
      </w:r>
    </w:p>
    <w:p>
      <w:pPr>
        <w:pStyle w:val="ListBullet"/>
      </w:pPr>
      <w:r>
        <w:rPr>
          <w:b w:val="0"/>
          <w:i w:val="0"/>
        </w:rPr>
        <w:t xml:space="preserve">Révision possible à la demande d'une organisation syndicale représentative ou de la Direction </w:t>
      </w:r>
      <w:r>
        <w:rPr>
          <w:b w:val="0"/>
          <w:i/>
          <w:color w:val="5B6578"/>
        </w:rPr>
        <w:t>(Art. 4.2)</w:t>
      </w:r>
      <w:r>
        <w:rPr>
          <w:b w:val="0"/>
          <w:i w:val="0"/>
        </w:rPr>
        <w:t xml:space="preserve"> ; dénonciation possible par lettre recommandée, l'accord restant applicable jusqu'au dernier jour des mandats CSE en cours </w:t>
      </w:r>
      <w:r>
        <w:rPr>
          <w:b w:val="0"/>
          <w:i/>
          <w:color w:val="5B6578"/>
        </w:rPr>
        <w:t>(Art. 4.3)</w:t>
      </w:r>
    </w:p>
    <w:p>
      <w:pPr>
        <w:pStyle w:val="ListBullet"/>
      </w:pPr>
      <w:r>
        <w:rPr>
          <w:b/>
          <w:i w:val="0"/>
        </w:rPr>
        <w:t>Aucune commission de suivi ni bilan périodique spécifique</w:t>
      </w:r>
      <w:r>
        <w:rPr>
          <w:b w:val="0"/>
          <w:i w:val="0"/>
        </w:rPr>
        <w:t xml:space="preserve"> à ce parcours n'est prévu par l'accord.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du 11 mars 2025, en vigueur depuis le 1er avril 2025.</w:t>
      </w:r>
    </w:p>
    <w:p>
      <w:r>
        <w:rPr>
          <w:b w:val="0"/>
          <w:i/>
          <w:color w:val="5B6578"/>
        </w:rPr>
        <w:t xml:space="preserve">Les références entre parenthèses renvoient aux articles de l'accord. Seul le texte intégral fait référence : </w:t>
      </w:r>
      <w:r>
        <w:rPr>
          <w:b w:val="0"/>
          <w:i/>
          <w:color w:val="5B6578"/>
        </w:rPr>
        <w:t>accord complet (PDF)</w:t>
      </w:r>
      <w:r>
        <w:rPr>
          <w:b w:val="0"/>
          <w:i/>
          <w:color w:val="5B657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