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CDD à objet défini</w:t>
      </w:r>
    </w:p>
    <w:p>
      <w:pPr>
        <w:pStyle w:val="Heading1"/>
      </w:pPr>
      <w:r>
        <w:rPr>
          <w:b w:val="0"/>
          <w:i w:val="0"/>
        </w:rPr>
        <w:t>Contrat à Durée Déterminée à Objet Défini (CDD)</w:t>
      </w:r>
    </w:p>
    <w:p>
      <w:r>
        <w:rPr>
          <w:b/>
          <w:i w:val="0"/>
        </w:rPr>
        <w:t>Qui est concerné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1)</w:t>
      </w:r>
    </w:p>
    <w:p>
      <w:r>
        <w:rPr>
          <w:b w:val="0"/>
          <w:i w:val="0"/>
        </w:rPr>
        <w:t xml:space="preserve">Les </w:t>
      </w:r>
      <w:r>
        <w:rPr>
          <w:b/>
          <w:i w:val="0"/>
        </w:rPr>
        <w:t>ingénieurs ou cadres</w:t>
      </w:r>
      <w:r>
        <w:rPr>
          <w:b w:val="0"/>
          <w:i w:val="0"/>
        </w:rPr>
        <w:t xml:space="preserve"> (au sens de la CCN des CLCC) recrutés pour un travail de recherche temporaire (étude clinique, projet à financement dédié, PHRC...) ou une mission de conseil/expertise sur un projet non pérenne. Ce contrat ne peut jamais servir à pourvoir un emploi permanent.</w:t>
      </w:r>
    </w:p>
    <w:p>
      <w:r>
        <w:rPr>
          <w:b/>
          <w:i w:val="0"/>
        </w:rPr>
        <w:t>Durée et fin de contrat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2)</w:t>
      </w:r>
    </w:p>
    <w:p>
      <w:pPr>
        <w:pStyle w:val="ListBullet"/>
      </w:pPr>
      <w:r>
        <w:rPr>
          <w:b w:val="0"/>
          <w:i w:val="0"/>
        </w:rPr>
        <w:t xml:space="preserve">Durée : </w:t>
      </w:r>
      <w:r>
        <w:rPr>
          <w:b/>
          <w:i w:val="0"/>
        </w:rPr>
        <w:t>18 à 36 mois</w:t>
      </w:r>
      <w:r>
        <w:rPr>
          <w:b w:val="0"/>
          <w:i w:val="0"/>
        </w:rPr>
        <w:t>, non renouvelable</w:t>
      </w:r>
    </w:p>
    <w:p>
      <w:pPr>
        <w:pStyle w:val="ListBullet"/>
      </w:pPr>
      <w:r>
        <w:rPr>
          <w:b w:val="0"/>
          <w:i w:val="0"/>
        </w:rPr>
        <w:t xml:space="preserve">Fin automatique à la réalisation de l'objet, avec un </w:t>
      </w:r>
      <w:r>
        <w:rPr>
          <w:b/>
          <w:i w:val="0"/>
        </w:rPr>
        <w:t>délai de prévenance de 2 mois</w:t>
      </w:r>
    </w:p>
    <w:p>
      <w:pPr>
        <w:pStyle w:val="ListBullet"/>
      </w:pPr>
      <w:r>
        <w:rPr>
          <w:b w:val="0"/>
          <w:i w:val="0"/>
        </w:rPr>
        <w:t xml:space="preserve">Rupture anticipée possible pour cause réelle et sérieuse, aux dates anniversaires de </w:t>
      </w:r>
      <w:r>
        <w:rPr>
          <w:b/>
          <w:i w:val="0"/>
        </w:rPr>
        <w:t>18 ou 24 mois</w:t>
      </w:r>
    </w:p>
    <w:p>
      <w:r>
        <w:rPr>
          <w:b/>
          <w:i w:val="0"/>
        </w:rPr>
        <w:t>Votre indemnité de fin de contrat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3)</w:t>
      </w:r>
    </w:p>
    <w:p>
      <w:r>
        <w:rPr>
          <w:b w:val="0"/>
          <w:i w:val="0"/>
        </w:rPr>
        <w:t xml:space="preserve">Si le contrat ne débouche pas sur un CDI : indemnité spécifique de </w:t>
      </w:r>
      <w:r>
        <w:rPr>
          <w:b/>
          <w:i w:val="0"/>
        </w:rPr>
        <w:t>10 % de votre rémunération totale brute</w:t>
      </w:r>
      <w:r>
        <w:rPr>
          <w:b w:val="0"/>
          <w:i w:val="0"/>
        </w:rPr>
        <w:t xml:space="preserve"> (remplace l'indemnité de précarité classique), due aussi en cas de rupture employeur aux dates anniversaires.</w:t>
      </w:r>
    </w:p>
    <w:p>
      <w:r>
        <w:rPr>
          <w:b/>
          <w:i w:val="0"/>
        </w:rPr>
        <w:t>Vos garanties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4)</w:t>
      </w:r>
    </w:p>
    <w:p>
      <w:pPr>
        <w:pStyle w:val="ListBullet"/>
      </w:pPr>
      <w:r>
        <w:rPr>
          <w:b w:val="0"/>
          <w:i w:val="0"/>
        </w:rPr>
        <w:t xml:space="preserve">Accès au plan de formation et au CIF, même après la fin du contrat ; bilan professionnel outplacement jusqu'à </w:t>
      </w:r>
      <w:r>
        <w:rPr>
          <w:b/>
          <w:i w:val="0"/>
        </w:rPr>
        <w:t>24h</w:t>
      </w:r>
      <w:r>
        <w:rPr>
          <w:b w:val="0"/>
          <w:i w:val="0"/>
        </w:rPr>
        <w:t>/</w:t>
      </w:r>
      <w:r>
        <w:rPr>
          <w:b/>
          <w:i w:val="0"/>
        </w:rPr>
        <w:t>800 € TTC</w:t>
      </w:r>
    </w:p>
    <w:p>
      <w:pPr>
        <w:pStyle w:val="ListBullet"/>
      </w:pPr>
      <w:r>
        <w:rPr>
          <w:b w:val="0"/>
          <w:i w:val="0"/>
        </w:rPr>
        <w:t xml:space="preserve">Co-investissement CPF possible par l'ICO, jusqu'à </w:t>
      </w:r>
      <w:r>
        <w:rPr>
          <w:b/>
          <w:i w:val="0"/>
        </w:rPr>
        <w:t>20h</w:t>
      </w:r>
      <w:r>
        <w:rPr>
          <w:b w:val="0"/>
          <w:i w:val="0"/>
        </w:rPr>
        <w:t xml:space="preserve">, si vos heures CPF ne suffisent pas — la formation doit être engagée </w:t>
      </w:r>
      <w:r>
        <w:rPr>
          <w:b/>
          <w:i w:val="0"/>
        </w:rPr>
        <w:t>avant la fin du contrat</w:t>
      </w:r>
      <w:r>
        <w:rPr>
          <w:b w:val="0"/>
          <w:i w:val="0"/>
        </w:rPr>
        <w:t xml:space="preserve"> et se terminer dans un délai de </w:t>
      </w:r>
      <w:r>
        <w:rPr>
          <w:b/>
          <w:i w:val="0"/>
        </w:rPr>
        <w:t>6 mois après la rupture du contrat</w:t>
      </w:r>
      <w:r>
        <w:rPr>
          <w:b w:val="0"/>
          <w:i w:val="0"/>
        </w:rPr>
        <w:t xml:space="preserve"> ; à titre exceptionnel, elle peut débuter après la fin du contrat si son financement a été validé avant votre départ</w:t>
      </w:r>
    </w:p>
    <w:p>
      <w:pPr>
        <w:pStyle w:val="ListBullet"/>
      </w:pPr>
      <w:r>
        <w:rPr>
          <w:b/>
          <w:i w:val="0"/>
        </w:rPr>
        <w:t>Priorité d'embauche en CDI</w:t>
      </w:r>
      <w:r>
        <w:rPr>
          <w:b w:val="0"/>
          <w:i w:val="0"/>
        </w:rPr>
        <w:t xml:space="preserve"> pendant toute la durée du contrat, avec accès automatique à la liste des postes à pourvoir (mail + intranet), puis </w:t>
      </w:r>
      <w:r>
        <w:rPr>
          <w:b/>
          <w:i w:val="0"/>
        </w:rPr>
        <w:t>priorité d'accès</w:t>
      </w:r>
      <w:r>
        <w:rPr>
          <w:b w:val="0"/>
          <w:i w:val="0"/>
        </w:rPr>
        <w:t xml:space="preserve"> aux emplois en CDI ou CDD pendant </w:t>
      </w:r>
      <w:r>
        <w:rPr>
          <w:b/>
          <w:i w:val="0"/>
        </w:rPr>
        <w:t>12 mois</w:t>
      </w:r>
      <w:r>
        <w:rPr>
          <w:b w:val="0"/>
          <w:i w:val="0"/>
        </w:rPr>
        <w:t xml:space="preserve"> après la fin du contrat — pour continuer à recevoir les offres par mail durant ces 12 mois, vous devez en faire la demande à la DRH</w:t>
      </w:r>
    </w:p>
    <w:p>
      <w:pPr>
        <w:pStyle w:val="ListBullet"/>
      </w:pPr>
      <w:r>
        <w:rPr>
          <w:b/>
          <w:i w:val="0"/>
        </w:rPr>
        <w:t>10h/mois</w:t>
      </w:r>
      <w:r>
        <w:rPr>
          <w:b w:val="0"/>
          <w:i w:val="0"/>
        </w:rPr>
        <w:t xml:space="preserve"> d'autorisation d'absence pendant le délai de prévenance, prises en accord avec votre hiérarchie, pour organiser la suite de votre parcours — ce droit cesse dès que vous avez trouvé un autre emploi</w:t>
      </w:r>
    </w:p>
    <w:p>
      <w:r>
        <w:rPr>
          <w:b/>
          <w:i w:val="0"/>
        </w:rPr>
        <w:t>Dates et signataires</w:t>
      </w:r>
    </w:p>
    <w:p>
      <w:r>
        <w:rPr>
          <w:b w:val="0"/>
          <w:i w:val="0"/>
        </w:rPr>
        <w:t xml:space="preserve">Signé le </w:t>
      </w:r>
      <w:r>
        <w:rPr>
          <w:b/>
          <w:i w:val="0"/>
        </w:rPr>
        <w:t>13 août 2021</w:t>
      </w:r>
      <w:r>
        <w:rPr>
          <w:b w:val="0"/>
          <w:i w:val="0"/>
        </w:rPr>
        <w:t xml:space="preserve"> par ICO (Mario Campone, DG), CGT-FO, Sud Santé-Sociaux, CFDT, CFE-CGC — les 4 organisations ont signé.</w:t>
      </w:r>
    </w:p>
    <w:p>
      <w:r>
        <w:rPr>
          <w:b/>
          <w:i w:val="0"/>
        </w:rPr>
        <w:t>Suivi de l'accord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6)</w:t>
      </w:r>
    </w:p>
    <w:p>
      <w:pPr>
        <w:pStyle w:val="ListBullet"/>
      </w:pPr>
      <w:r>
        <w:rPr>
          <w:b w:val="0"/>
          <w:i w:val="0"/>
        </w:rPr>
        <w:t xml:space="preserve">Les élus du </w:t>
      </w:r>
      <w:r>
        <w:rPr>
          <w:b/>
          <w:i w:val="0"/>
        </w:rPr>
        <w:t>CSE central sont informés</w:t>
      </w:r>
      <w:r>
        <w:rPr>
          <w:b w:val="0"/>
          <w:i w:val="0"/>
        </w:rPr>
        <w:t xml:space="preserve"> de la conclusion et de la fin de chaque contrat à objet défini, lors de la réunion de CSE Central qui suit : service concerné, période du contrat, description du projet, définition des tâches et résultat objectif déterminant la fin </w:t>
      </w:r>
      <w:r>
        <w:rPr>
          <w:b w:val="0"/>
          <w:i/>
          <w:color w:val="5B6578"/>
        </w:rPr>
        <w:t>(Art. 6.1)</w:t>
      </w:r>
    </w:p>
    <w:p>
      <w:pPr>
        <w:pStyle w:val="ListBullet"/>
      </w:pPr>
      <w:r>
        <w:rPr>
          <w:b w:val="0"/>
          <w:i w:val="0"/>
        </w:rPr>
        <w:t xml:space="preserve">Accord conclu pour une </w:t>
      </w:r>
      <w:r>
        <w:rPr>
          <w:b/>
          <w:i w:val="0"/>
        </w:rPr>
        <w:t>durée indéterminée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6.2)</w:t>
      </w:r>
    </w:p>
    <w:p>
      <w:pPr>
        <w:pStyle w:val="ListBullet"/>
      </w:pPr>
      <w:r>
        <w:rPr>
          <w:b w:val="0"/>
          <w:i w:val="0"/>
        </w:rPr>
        <w:t xml:space="preserve">Révision possible à la demande d'une organisation syndicale représentative ou de la Direction </w:t>
      </w:r>
      <w:r>
        <w:rPr>
          <w:b w:val="0"/>
          <w:i/>
          <w:color w:val="5B6578"/>
        </w:rPr>
        <w:t>(Art. 6.3)</w:t>
      </w:r>
      <w:r>
        <w:rPr>
          <w:b w:val="0"/>
          <w:i w:val="0"/>
        </w:rPr>
        <w:t xml:space="preserve"> ; dénonciation possible par lettre recommandée, l'accord restant applicable jusqu'au dernier jour des mandats CSE en cours </w:t>
      </w:r>
      <w:r>
        <w:rPr>
          <w:b w:val="0"/>
          <w:i/>
          <w:color w:val="5B6578"/>
        </w:rPr>
        <w:t>(Art. 6.4)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 xml:space="preserve">Source : </w:t>
      </w:r>
      <w:r>
        <w:rPr>
          <w:b w:val="0"/>
          <w:i/>
          <w:color w:val="5B6578"/>
        </w:rPr>
        <w:t>accord-cdd-objet-defini-2021.md</w:t>
      </w:r>
      <w:r>
        <w:rPr>
          <w:b w:val="0"/>
          <w:i/>
          <w:color w:val="5B6578"/>
        </w:rPr>
        <w:t>.</w:t>
      </w:r>
    </w:p>
    <w:p>
      <w:r>
        <w:rPr>
          <w:b w:val="0"/>
          <w:i/>
          <w:color w:val="5B6578"/>
        </w:rPr>
        <w:t xml:space="preserve">Les références entre parenthèses renvoient aux articles de l'accord. Seul le texte intégral fait référence : </w:t>
      </w:r>
      <w:r>
        <w:rPr>
          <w:b w:val="0"/>
          <w:i/>
          <w:color w:val="5B6578"/>
        </w:rPr>
        <w:t>accord complet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