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4203A"/>
        </w:rPr>
        <w:t>Télétravail</w:t>
      </w:r>
    </w:p>
    <w:p>
      <w:pPr>
        <w:pStyle w:val="Heading1"/>
      </w:pPr>
      <w:r>
        <w:rPr>
          <w:b w:val="0"/>
          <w:i w:val="0"/>
        </w:rPr>
        <w:t>Accord télétravail</w:t>
      </w:r>
    </w:p>
    <w:p>
      <w:r>
        <w:rPr>
          <w:color w:val="5B6578"/>
          <w:sz w:val="16"/>
        </w:rPr>
        <w:t>────────────────────────────────────────</w:t>
      </w:r>
    </w:p>
    <w:p>
      <w:pPr>
        <w:pStyle w:val="Heading2"/>
      </w:pPr>
      <w:r>
        <w:rPr>
          <w:b w:val="0"/>
          <w:i w:val="0"/>
        </w:rPr>
        <w:t>VOLET 1 — Qui est concerné ?</w:t>
      </w:r>
    </w:p>
    <w:p>
      <w:r>
        <w:rPr>
          <w:b/>
          <w:i w:val="0"/>
        </w:rPr>
        <w:t>Qui peut en bénéficier ?</w:t>
      </w:r>
      <w:r>
        <w:rPr>
          <w:b w:val="0"/>
          <w:i w:val="0"/>
        </w:rPr>
        <w:t xml:space="preserve"> </w:t>
      </w:r>
      <w:r>
        <w:rPr>
          <w:b w:val="0"/>
          <w:i/>
          <w:color w:val="5B6578"/>
        </w:rPr>
        <w:t>(Art. 3 — Critères d'éligibilité)</w:t>
      </w:r>
    </w:p>
    <w:p>
      <w:pPr>
        <w:pStyle w:val="ListBullet"/>
      </w:pPr>
      <w:r>
        <w:rPr>
          <w:b w:val="0"/>
          <w:i w:val="0"/>
        </w:rPr>
        <w:t xml:space="preserve">Il faut au moins </w:t>
      </w:r>
      <w:r>
        <w:rPr>
          <w:b/>
          <w:i w:val="0"/>
        </w:rPr>
        <w:t>6 mois d'ancienneté</w:t>
      </w:r>
      <w:r>
        <w:rPr>
          <w:b w:val="0"/>
          <w:i w:val="0"/>
        </w:rPr>
        <w:t xml:space="preserve"> </w:t>
      </w:r>
      <w:r>
        <w:rPr>
          <w:b w:val="0"/>
          <w:i/>
          <w:color w:val="5B6578"/>
        </w:rPr>
        <w:t>(Art. 3.3 / Art. 2)</w:t>
      </w:r>
    </w:p>
    <w:p>
      <w:pPr>
        <w:pStyle w:val="ListBullet"/>
      </w:pPr>
      <w:r>
        <w:rPr>
          <w:b w:val="0"/>
          <w:i w:val="0"/>
        </w:rPr>
        <w:t xml:space="preserve">Travailler au moins </w:t>
      </w:r>
      <w:r>
        <w:rPr>
          <w:b/>
          <w:i w:val="0"/>
        </w:rPr>
        <w:t>50 %</w:t>
      </w:r>
      <w:r>
        <w:rPr>
          <w:b w:val="0"/>
          <w:i w:val="0"/>
        </w:rPr>
        <w:t xml:space="preserve"> d'un temps plein </w:t>
      </w:r>
      <w:r>
        <w:rPr>
          <w:b w:val="0"/>
          <w:i/>
          <w:color w:val="5B6578"/>
        </w:rPr>
        <w:t>(Art. 3.3)</w:t>
      </w:r>
    </w:p>
    <w:p>
      <w:pPr>
        <w:pStyle w:val="ListBullet"/>
      </w:pPr>
      <w:r>
        <w:rPr>
          <w:b w:val="0"/>
          <w:i w:val="0"/>
        </w:rPr>
        <w:t xml:space="preserve">Votre poste doit pouvoir se faire à distance — les métiers en contact direct avec les patients (accueil, soins) restent en dehors du dispositif, pour que la prise en charge ne soit jamais interrompue </w:t>
      </w:r>
      <w:r>
        <w:rPr>
          <w:b w:val="0"/>
          <w:i/>
          <w:color w:val="5B6578"/>
        </w:rPr>
        <w:t>(Art. 3.1)</w:t>
      </w:r>
    </w:p>
    <w:p>
      <w:pPr>
        <w:pStyle w:val="ListBullet"/>
      </w:pPr>
      <w:r>
        <w:rPr>
          <w:b w:val="0"/>
          <w:i w:val="0"/>
        </w:rPr>
        <w:t xml:space="preserve">Sont exclus : apprentis, contrats de professionnalisation, CUI-CEC, stagiaires </w:t>
      </w:r>
      <w:r>
        <w:rPr>
          <w:b w:val="0"/>
          <w:i/>
          <w:color w:val="5B6578"/>
        </w:rPr>
        <w:t>(Art. 3.3)</w:t>
      </w:r>
    </w:p>
    <w:p>
      <w:pPr>
        <w:pStyle w:val="ListBullet"/>
      </w:pPr>
      <w:r>
        <w:rPr>
          <w:b/>
          <w:i w:val="0"/>
        </w:rPr>
        <w:t>Exception pour le personnel médical en lien avec le soin</w:t>
      </w:r>
      <w:r>
        <w:rPr>
          <w:b w:val="0"/>
          <w:i w:val="0"/>
        </w:rPr>
        <w:t xml:space="preserve"> : le télétravail peut être justifié pour les projets de recherche ou médicaux, les publications, les congrès ou réunions scientifiques, et pour la structuration de l'organisation du service en complément du chef de service. Sur validation du chef de département, il peut aussi être mis en œuvre pour des activités techniques et cliniques (télémédecine), après une période d'adaptation — la téléconsultation restant toujours exclue </w:t>
      </w:r>
      <w:r>
        <w:rPr>
          <w:b w:val="0"/>
          <w:i/>
          <w:color w:val="5B6578"/>
        </w:rPr>
        <w:t>(Art. 3.1)</w:t>
      </w:r>
    </w:p>
    <w:p>
      <w:pPr>
        <w:pStyle w:val="ListBullet"/>
      </w:pPr>
      <w:r>
        <w:rPr>
          <w:b w:val="0"/>
          <w:i w:val="0"/>
        </w:rPr>
        <w:t xml:space="preserve">Le télétravail est </w:t>
      </w:r>
      <w:r>
        <w:rPr>
          <w:b/>
          <w:i w:val="0"/>
        </w:rPr>
        <w:t>volontaire des deux côtés</w:t>
      </w:r>
      <w:r>
        <w:rPr>
          <w:b w:val="0"/>
          <w:i w:val="0"/>
        </w:rPr>
        <w:t xml:space="preserve"> : personne ne peut vous l'imposer, et vous ne pouvez pas l'imposer à votre service </w:t>
      </w:r>
      <w:r>
        <w:rPr>
          <w:b w:val="0"/>
          <w:i/>
          <w:color w:val="5B6578"/>
        </w:rPr>
        <w:t>(Art. 4.1 — double volontariat)</w:t>
      </w:r>
    </w:p>
    <w:p>
      <w:pPr>
        <w:pStyle w:val="ListBullet"/>
      </w:pPr>
      <w:r>
        <w:rPr>
          <w:b/>
          <w:i w:val="0"/>
        </w:rPr>
        <w:t>Un bénéficiaire d'une RQTH (reconnaissance qualité travailleur handicapé)</w:t>
      </w:r>
      <w:r>
        <w:rPr>
          <w:b w:val="0"/>
          <w:i w:val="0"/>
        </w:rPr>
        <w:t xml:space="preserve"> verra son accès au télétravail favorisé, sur préconisation du médecin du travail, avec des aménagements de poste étudiés si besoin </w:t>
      </w:r>
      <w:r>
        <w:rPr>
          <w:b w:val="0"/>
          <w:i/>
          <w:color w:val="5B6578"/>
        </w:rPr>
        <w:t>(Art. 11)</w:t>
      </w:r>
    </w:p>
    <w:p>
      <w:r>
        <w:rPr>
          <w:b/>
          <w:i w:val="0"/>
        </w:rPr>
        <w:t>Ce qu'il faut retenir</w:t>
      </w:r>
      <w:r>
        <w:rPr>
          <w:b w:val="0"/>
          <w:i w:val="0"/>
        </w:rPr>
        <w:t xml:space="preserve"> </w:t>
      </w:r>
      <w:r>
        <w:rPr>
          <w:b w:val="0"/>
          <w:i/>
          <w:color w:val="5B6578"/>
        </w:rPr>
        <w:t>(Art. 6 — Fréquence et nombre de jours)</w:t>
      </w:r>
    </w:p>
    <w:p>
      <w:pPr>
        <w:pStyle w:val="ListBullet"/>
      </w:pPr>
      <w:r>
        <w:rPr>
          <w:b w:val="0"/>
          <w:i w:val="0"/>
        </w:rPr>
        <w:t xml:space="preserve">Jusqu'à </w:t>
      </w:r>
      <w:r>
        <w:rPr>
          <w:b/>
          <w:i w:val="0"/>
        </w:rPr>
        <w:t>47 jours de télétravail par an</w:t>
      </w:r>
      <w:r>
        <w:rPr>
          <w:b w:val="0"/>
          <w:i w:val="0"/>
        </w:rPr>
        <w:t xml:space="preserve"> pour un temps plein. Si vous êtes à temps partiel à 80 % ou plus, ce plafond n'est pas proratisé ; en dessous de 80 %, il est proratisé à votre temps de travail </w:t>
      </w:r>
      <w:r>
        <w:rPr>
          <w:b w:val="0"/>
          <w:i/>
          <w:color w:val="5B6578"/>
        </w:rPr>
        <w:t>(Art. 6, al. 1-3)</w:t>
      </w:r>
    </w:p>
    <w:p>
      <w:pPr>
        <w:pStyle w:val="ListBullet"/>
      </w:pPr>
      <w:r>
        <w:rPr>
          <w:b w:val="0"/>
          <w:i w:val="0"/>
        </w:rPr>
        <w:t xml:space="preserve">Concrètement, ça représente </w:t>
      </w:r>
      <w:r>
        <w:rPr>
          <w:b/>
          <w:i w:val="0"/>
        </w:rPr>
        <w:t>1 jour par semaine en moyenne</w:t>
      </w:r>
      <w:r>
        <w:rPr>
          <w:b w:val="0"/>
          <w:i w:val="0"/>
        </w:rPr>
        <w:t xml:space="preserve"> pour les non-cadres et cadres en heures (2 jours possibles selon le service) </w:t>
      </w:r>
      <w:r>
        <w:rPr>
          <w:b w:val="0"/>
          <w:i/>
          <w:color w:val="5B6578"/>
        </w:rPr>
        <w:t>(Art. 6)</w:t>
      </w:r>
    </w:p>
    <w:p>
      <w:pPr>
        <w:pStyle w:val="ListBullet"/>
      </w:pPr>
      <w:r>
        <w:rPr>
          <w:b w:val="0"/>
          <w:i w:val="0"/>
        </w:rPr>
        <w:t xml:space="preserve">Et jusqu'à </w:t>
      </w:r>
      <w:r>
        <w:rPr>
          <w:b/>
          <w:i w:val="0"/>
        </w:rPr>
        <w:t>3 jours par semaine</w:t>
      </w:r>
      <w:r>
        <w:rPr>
          <w:b w:val="0"/>
          <w:i w:val="0"/>
        </w:rPr>
        <w:t xml:space="preserve"> pour les cadres au forfait jour </w:t>
      </w:r>
      <w:r>
        <w:rPr>
          <w:b w:val="0"/>
          <w:i/>
          <w:color w:val="5B6578"/>
        </w:rPr>
        <w:t>(Art. 6)</w:t>
      </w:r>
    </w:p>
    <w:p>
      <w:pPr>
        <w:pStyle w:val="ListBullet"/>
      </w:pPr>
      <w:r>
        <w:rPr>
          <w:b w:val="0"/>
          <w:i w:val="0"/>
        </w:rPr>
        <w:t xml:space="preserve">Vous changez d'avis ? Le télétravail est </w:t>
      </w:r>
      <w:r>
        <w:rPr>
          <w:b/>
          <w:i w:val="0"/>
        </w:rPr>
        <w:t>réversible à tout moment</w:t>
      </w:r>
      <w:r>
        <w:rPr>
          <w:b w:val="0"/>
          <w:i w:val="0"/>
        </w:rPr>
        <w:t xml:space="preserve">, à votre seule initiative </w:t>
      </w:r>
      <w:r>
        <w:rPr>
          <w:b w:val="0"/>
          <w:i/>
          <w:color w:val="5B6578"/>
        </w:rPr>
        <w:t>(Art. 5.1 — Clause de réversibilité)</w:t>
      </w:r>
    </w:p>
    <w:p>
      <w:pPr>
        <w:pStyle w:val="ListBullet"/>
      </w:pPr>
      <w:r>
        <w:rPr>
          <w:b/>
          <w:i w:val="0"/>
        </w:rPr>
        <w:t>L'employeur peut aussi y mettre fin</w:t>
      </w:r>
      <w:r>
        <w:rPr>
          <w:b w:val="0"/>
          <w:i w:val="0"/>
        </w:rPr>
        <w:t xml:space="preserve">, pour l'un de ces motifs : réorganisation de l'ICO, changement de fonction, évolution réglementaire rendant le télétravail incompatible, absence de remontée d'informations sur votre activité, ou non-respect des règles de durée du travail de l'accord. Dans ce cas, vous êtes informé par écrit et le retour au travail sur site prend effet au maximum </w:t>
      </w:r>
      <w:r>
        <w:rPr>
          <w:b/>
          <w:i w:val="0"/>
        </w:rPr>
        <w:t>1 mois</w:t>
      </w:r>
      <w:r>
        <w:rPr>
          <w:b w:val="0"/>
          <w:i w:val="0"/>
        </w:rPr>
        <w:t xml:space="preserve"> après que vous avez reçu la décision — sauf en cas de manquement avéré aux règles de sécurité, confidentialité ou protection des données, où il est mis fin sans délai </w:t>
      </w:r>
      <w:r>
        <w:rPr>
          <w:b w:val="0"/>
          <w:i/>
          <w:color w:val="5B6578"/>
        </w:rPr>
        <w:t>(Art. 5.1)</w:t>
      </w:r>
    </w:p>
    <w:p>
      <w:pPr>
        <w:pStyle w:val="ListBullet"/>
      </w:pPr>
      <w:r>
        <w:rPr>
          <w:b/>
          <w:i w:val="0"/>
        </w:rPr>
        <w:t>Le télétravail peut aussi être suspendu ponctuellement et sans préavis</w:t>
      </w:r>
      <w:r>
        <w:rPr>
          <w:b w:val="0"/>
          <w:i w:val="0"/>
        </w:rPr>
        <w:t xml:space="preserve"> : nécessité de présence physique, panne technique, absentéisme important dans le service, ou congés (CP/RTT/temps partiel, prioritaires sur le télétravail) dans votre service. Les jours de télétravail non effectués peuvent alors être reportés, dans la limite de l'année civile </w:t>
      </w:r>
      <w:r>
        <w:rPr>
          <w:b w:val="0"/>
          <w:i/>
          <w:color w:val="5B6578"/>
        </w:rPr>
        <w:t>(Art. 5.3)</w:t>
      </w:r>
    </w:p>
    <w:p>
      <w:r>
        <w:rPr>
          <w:color w:val="5B6578"/>
          <w:sz w:val="16"/>
        </w:rPr>
        <w:t>────────────────────────────────────────</w:t>
      </w:r>
    </w:p>
    <w:p>
      <w:pPr>
        <w:pStyle w:val="Heading2"/>
      </w:pPr>
      <w:r>
        <w:rPr>
          <w:b w:val="0"/>
          <w:i w:val="0"/>
        </w:rPr>
        <w:t>VOLET 2 — Conditions &amp; modalités</w:t>
      </w:r>
    </w:p>
    <w:p>
      <w:r>
        <w:rPr>
          <w:b/>
          <w:i w:val="0"/>
        </w:rPr>
        <w:t>Comment faire la demande</w:t>
      </w:r>
      <w:r>
        <w:rPr>
          <w:b w:val="0"/>
          <w:i w:val="0"/>
        </w:rPr>
        <w:t xml:space="preserve"> </w:t>
      </w:r>
      <w:r>
        <w:rPr>
          <w:b w:val="0"/>
          <w:i/>
          <w:color w:val="5B6578"/>
        </w:rPr>
        <w:t>(Art. 4 — Modalités de demande et d'acceptation)</w:t>
      </w:r>
    </w:p>
    <w:p>
      <w:pPr>
        <w:pStyle w:val="ListNumber"/>
      </w:pPr>
      <w:r>
        <w:rPr>
          <w:b w:val="0"/>
          <w:i w:val="0"/>
        </w:rPr>
        <w:t xml:space="preserve">Vous adressez une demande écrite à votre responsable hiérarchique </w:t>
      </w:r>
      <w:r>
        <w:rPr>
          <w:b w:val="0"/>
          <w:i/>
          <w:color w:val="5B6578"/>
        </w:rPr>
        <w:t>(Art. 4.2)</w:t>
      </w:r>
    </w:p>
    <w:p>
      <w:pPr>
        <w:pStyle w:val="ListNumber"/>
      </w:pPr>
      <w:r>
        <w:rPr>
          <w:b w:val="0"/>
          <w:i w:val="0"/>
        </w:rPr>
        <w:t xml:space="preserve">La DRH doit vous répondre par écrit, et de façon motivée, sous </w:t>
      </w:r>
      <w:r>
        <w:rPr>
          <w:b/>
          <w:i w:val="0"/>
        </w:rPr>
        <w:t>1 mois maximum</w:t>
      </w:r>
      <w:r>
        <w:rPr>
          <w:b w:val="0"/>
          <w:i w:val="0"/>
        </w:rPr>
        <w:t xml:space="preserve"> </w:t>
      </w:r>
      <w:r>
        <w:rPr>
          <w:b w:val="0"/>
          <w:i/>
          <w:color w:val="5B6578"/>
        </w:rPr>
        <w:t>(Art. 4.3)</w:t>
      </w:r>
    </w:p>
    <w:p>
      <w:pPr>
        <w:pStyle w:val="ListNumber"/>
      </w:pPr>
      <w:r>
        <w:rPr>
          <w:b w:val="0"/>
          <w:i w:val="0"/>
        </w:rPr>
        <w:t xml:space="preserve">Les jours sont ensuite validés via l'outil de gestion des temps (GTA) </w:t>
      </w:r>
      <w:r>
        <w:rPr>
          <w:b w:val="0"/>
          <w:i/>
          <w:color w:val="5B6578"/>
        </w:rPr>
        <w:t>(Art. 4.2)</w:t>
      </w:r>
    </w:p>
    <w:p>
      <w:pPr>
        <w:pStyle w:val="ListNumber"/>
      </w:pPr>
      <w:r>
        <w:rPr>
          <w:b w:val="0"/>
          <w:i w:val="0"/>
        </w:rPr>
        <w:t xml:space="preserve">Si c'est non, ce n'est jamais un motif de sanction — et le refus doit être justifié par écrit, noir sur blanc </w:t>
      </w:r>
      <w:r>
        <w:rPr>
          <w:b w:val="0"/>
          <w:i/>
          <w:color w:val="5B6578"/>
        </w:rPr>
        <w:t>(Art. 4.4)</w:t>
      </w:r>
    </w:p>
    <w:p>
      <w:pPr>
        <w:pStyle w:val="ListNumber"/>
      </w:pPr>
      <w:r>
        <w:rPr>
          <w:b/>
          <w:i w:val="0"/>
        </w:rPr>
        <w:t>Un autre motif de refus possible</w:t>
      </w:r>
      <w:r>
        <w:rPr>
          <w:b w:val="0"/>
          <w:i w:val="0"/>
        </w:rPr>
        <w:t xml:space="preserve"> : votre responsable doit veiller à ce que le nombre de salariés en télétravail le même jour reste compatible avec le bon fonctionnement du service ; si les demandes sont trop nombreuses dans une même équipe, il peut en refuser certaines et mettra en place un roulement équitable entre les candidats </w:t>
      </w:r>
      <w:r>
        <w:rPr>
          <w:b w:val="0"/>
          <w:i/>
          <w:color w:val="5B6578"/>
        </w:rPr>
        <w:t>(Art. 4.5)</w:t>
      </w:r>
    </w:p>
    <w:p>
      <w:r>
        <w:rPr>
          <w:b/>
          <w:i w:val="0"/>
        </w:rPr>
        <w:t>Les délais à avoir en tête</w:t>
      </w:r>
      <w:r>
        <w:rPr>
          <w:b w:val="0"/>
          <w:i w:val="0"/>
        </w:rPr>
        <w:t xml:space="preserve"> </w:t>
      </w:r>
      <w:r>
        <w:rPr>
          <w:b w:val="0"/>
          <w:i/>
          <w:color w:val="5B6578"/>
        </w:rPr>
        <w:t>(Art. 6)</w:t>
      </w:r>
    </w:p>
    <w:p>
      <w:pPr>
        <w:pStyle w:val="ListBullet"/>
      </w:pPr>
      <w:r>
        <w:rPr>
          <w:b w:val="0"/>
          <w:i w:val="0"/>
        </w:rPr>
        <w:t xml:space="preserve">Pour changer un jour de télétravail : </w:t>
      </w:r>
      <w:r>
        <w:rPr>
          <w:b/>
          <w:i w:val="0"/>
        </w:rPr>
        <w:t>48h de délai de prévenance</w:t>
      </w:r>
      <w:r>
        <w:rPr>
          <w:b w:val="0"/>
          <w:i w:val="0"/>
        </w:rPr>
        <w:t xml:space="preserve"> (72h si vous êtes cadre au forfait jour)</w:t>
      </w:r>
    </w:p>
    <w:p>
      <w:pPr>
        <w:pStyle w:val="ListBullet"/>
      </w:pPr>
      <w:r>
        <w:rPr>
          <w:b w:val="0"/>
          <w:i w:val="0"/>
        </w:rPr>
        <w:t>Le planning se construit par trimestre, avec au moins 1 mois d'anticipation</w:t>
      </w:r>
    </w:p>
    <w:p>
      <w:r>
        <w:rPr>
          <w:b/>
          <w:i w:val="0"/>
        </w:rPr>
        <w:t>Ce que l'ICO met à votre disposition</w:t>
      </w:r>
      <w:r>
        <w:rPr>
          <w:b w:val="0"/>
          <w:i w:val="0"/>
        </w:rPr>
        <w:t xml:space="preserve"> </w:t>
      </w:r>
      <w:r>
        <w:rPr>
          <w:b w:val="0"/>
          <w:i/>
          <w:color w:val="5B6578"/>
        </w:rPr>
        <w:t>(Art. 8.1 — Équipements et matériels)</w:t>
      </w:r>
    </w:p>
    <w:p>
      <w:r>
        <w:rPr>
          <w:b w:val="0"/>
          <w:i w:val="0"/>
        </w:rPr>
        <w:t xml:space="preserve">Un PC portable, une souris filaire, l'alimentation et une sacoche. En revanche, pas de 2ᵉ écran, pas d'imprimante, pas de chaise ergonomique — et aucune indemnité financière n'est prévue pour les frais liés au télétravail (électricité, chauffage...) </w:t>
      </w:r>
      <w:r>
        <w:rPr>
          <w:b w:val="0"/>
          <w:i/>
          <w:color w:val="5B6578"/>
        </w:rPr>
        <w:t>(Art. 8.3, dernier alinéa)</w:t>
      </w:r>
      <w:r>
        <w:rPr>
          <w:b w:val="0"/>
          <w:i w:val="0"/>
        </w:rPr>
        <w:t>.</w:t>
      </w:r>
    </w:p>
    <w:p>
      <w:r>
        <w:rPr>
          <w:b/>
          <w:i w:val="0"/>
        </w:rPr>
        <w:t>Ce qu'on vous demande en retour</w:t>
      </w:r>
      <w:r>
        <w:rPr>
          <w:b w:val="0"/>
          <w:i w:val="0"/>
        </w:rPr>
        <w:t xml:space="preserve"> </w:t>
      </w:r>
      <w:r>
        <w:rPr>
          <w:b w:val="0"/>
          <w:i/>
          <w:color w:val="5B6578"/>
        </w:rPr>
        <w:t>(Art. 3.4 et Art. 8.3)</w:t>
      </w:r>
    </w:p>
    <w:p>
      <w:pPr>
        <w:pStyle w:val="ListBullet"/>
      </w:pPr>
      <w:r>
        <w:rPr>
          <w:b w:val="0"/>
          <w:i w:val="0"/>
        </w:rPr>
        <w:t xml:space="preserve">Disposer chez vous d'un espace dédié et d'une connexion internet suffisante </w:t>
      </w:r>
      <w:r>
        <w:rPr>
          <w:b w:val="0"/>
          <w:i/>
          <w:color w:val="5B6578"/>
        </w:rPr>
        <w:t>(Art. 3.4)</w:t>
      </w:r>
    </w:p>
    <w:p>
      <w:pPr>
        <w:pStyle w:val="ListBullet"/>
      </w:pPr>
      <w:r>
        <w:rPr>
          <w:b w:val="0"/>
          <w:i w:val="0"/>
        </w:rPr>
        <w:t xml:space="preserve">Souscrire une assurance habitation multirisques avec responsabilité civile </w:t>
      </w:r>
      <w:r>
        <w:rPr>
          <w:b w:val="0"/>
          <w:i/>
          <w:color w:val="5B6578"/>
        </w:rPr>
        <w:t>(Art. 8.3)</w:t>
      </w:r>
    </w:p>
    <w:p>
      <w:pPr>
        <w:pStyle w:val="ListBullet"/>
      </w:pPr>
      <w:r>
        <w:rPr>
          <w:b w:val="0"/>
          <w:i w:val="0"/>
        </w:rPr>
        <w:t xml:space="preserve">Veiller à une confidentialité renforcée : données, mots de passe, etc. </w:t>
      </w:r>
      <w:r>
        <w:rPr>
          <w:b w:val="0"/>
          <w:i/>
          <w:color w:val="5B6578"/>
        </w:rPr>
        <w:t>(Art. 10.3)</w:t>
      </w:r>
    </w:p>
    <w:p>
      <w:r>
        <w:rPr>
          <w:b/>
          <w:i w:val="0"/>
        </w:rPr>
        <w:t>Si la connexion ne fonctionne pas</w:t>
      </w:r>
      <w:r>
        <w:rPr>
          <w:b w:val="0"/>
          <w:i w:val="0"/>
        </w:rPr>
        <w:t xml:space="preserve"> </w:t>
      </w:r>
      <w:r>
        <w:rPr>
          <w:b w:val="0"/>
          <w:i/>
          <w:color w:val="5B6578"/>
        </w:rPr>
        <w:t>(Art. 8.2)</w:t>
      </w:r>
    </w:p>
    <w:p>
      <w:pPr>
        <w:pStyle w:val="ListBullet"/>
      </w:pPr>
      <w:r>
        <w:rPr>
          <w:b/>
          <w:i w:val="0"/>
        </w:rPr>
        <w:t>Cause externe</w:t>
      </w:r>
      <w:r>
        <w:rPr>
          <w:b w:val="0"/>
          <w:i w:val="0"/>
        </w:rPr>
        <w:t xml:space="preserve"> (panne chez vous) : vous devez soit vous rendre sur site, soit poser une journée de CP ou de RTT, en accord avec votre responsable </w:t>
      </w:r>
      <w:r>
        <w:rPr>
          <w:b w:val="0"/>
          <w:i/>
          <w:color w:val="5B6578"/>
        </w:rPr>
        <w:t>(Art. 8.2)</w:t>
      </w:r>
    </w:p>
    <w:p>
      <w:pPr>
        <w:pStyle w:val="ListBullet"/>
      </w:pPr>
      <w:r>
        <w:rPr>
          <w:b/>
          <w:i w:val="0"/>
        </w:rPr>
        <w:t>Cause interne</w:t>
      </w:r>
      <w:r>
        <w:rPr>
          <w:b w:val="0"/>
          <w:i w:val="0"/>
        </w:rPr>
        <w:t xml:space="preserve"> (panne du réseau de l'ICO) : vous pouvez rester chez vous en attendant le rétablissement par la DSI </w:t>
      </w:r>
      <w:r>
        <w:rPr>
          <w:b w:val="0"/>
          <w:i/>
          <w:color w:val="5B6578"/>
        </w:rPr>
        <w:t>(Art. 8.2)</w:t>
      </w:r>
    </w:p>
    <w:p>
      <w:r>
        <w:rPr>
          <w:b/>
          <w:i w:val="0"/>
        </w:rPr>
        <w:t>⚠ Un point à ne pas négliger</w:t>
      </w:r>
      <w:r>
        <w:rPr>
          <w:b w:val="0"/>
          <w:i w:val="0"/>
        </w:rPr>
        <w:t xml:space="preserve"> </w:t>
      </w:r>
      <w:r>
        <w:rPr>
          <w:b w:val="0"/>
          <w:i/>
          <w:color w:val="5B6578"/>
        </w:rPr>
        <w:t>(Art. 7.2 et 7.3 — Droit à la déconnexion)</w:t>
      </w:r>
    </w:p>
    <w:p>
      <w:r>
        <w:rPr>
          <w:b w:val="0"/>
          <w:i w:val="0"/>
        </w:rPr>
        <w:t xml:space="preserve">Votre droit à la déconnexion est garanti : personne ne doit vous solliciter professionnellement avant 8h ou après 20h, sauf urgence réelle </w:t>
      </w:r>
      <w:r>
        <w:rPr>
          <w:b w:val="0"/>
          <w:i/>
          <w:color w:val="5B6578"/>
        </w:rPr>
        <w:t>(Art. 7.2)</w:t>
      </w:r>
      <w:r>
        <w:rPr>
          <w:b w:val="0"/>
          <w:i w:val="0"/>
        </w:rPr>
        <w:t xml:space="preserve">. Les plages où l'on peut vous contacter se fixent avec votre manager, pas l'inverse </w:t>
      </w:r>
      <w:r>
        <w:rPr>
          <w:b w:val="0"/>
          <w:i/>
          <w:color w:val="5B6578"/>
        </w:rPr>
        <w:t>(Art. 7.3)</w:t>
      </w:r>
      <w:r>
        <w:rPr>
          <w:b w:val="0"/>
          <w:i w:val="0"/>
        </w:rPr>
        <w:t>.</w:t>
      </w:r>
    </w:p>
    <w:p>
      <w:r>
        <w:rPr>
          <w:b/>
          <w:i w:val="0"/>
        </w:rPr>
        <w:t>Bon à savoir</w:t>
      </w:r>
    </w:p>
    <w:p>
      <w:pPr>
        <w:pStyle w:val="ListBullet"/>
      </w:pPr>
      <w:r>
        <w:rPr>
          <w:b w:val="0"/>
          <w:i w:val="0"/>
        </w:rPr>
        <w:t xml:space="preserve">Un accident chez vous pendant un jour de télétravail est traité </w:t>
      </w:r>
      <w:r>
        <w:rPr>
          <w:b/>
          <w:i w:val="0"/>
        </w:rPr>
        <w:t>exactement comme un accident sur site</w:t>
      </w:r>
      <w:r>
        <w:rPr>
          <w:b w:val="0"/>
          <w:i w:val="0"/>
        </w:rPr>
        <w:t xml:space="preserve"> </w:t>
      </w:r>
      <w:r>
        <w:rPr>
          <w:b w:val="0"/>
          <w:i/>
          <w:color w:val="5B6578"/>
        </w:rPr>
        <w:t>(Art. 9.2)</w:t>
      </w:r>
    </w:p>
    <w:p>
      <w:pPr>
        <w:pStyle w:val="ListBullet"/>
      </w:pPr>
      <w:r>
        <w:rPr>
          <w:b w:val="0"/>
          <w:i w:val="0"/>
        </w:rPr>
        <w:t xml:space="preserve">Vous gardez </w:t>
      </w:r>
      <w:r>
        <w:rPr>
          <w:b/>
          <w:i w:val="0"/>
        </w:rPr>
        <w:t>tous vos droits</w:t>
      </w:r>
      <w:r>
        <w:rPr>
          <w:b w:val="0"/>
          <w:i w:val="0"/>
        </w:rPr>
        <w:t xml:space="preserve">, collectifs comme individuels : informations syndicales, élections professionnelles, accès à la formation — le télétravail ne vous met pas à l'écart </w:t>
      </w:r>
      <w:r>
        <w:rPr>
          <w:b w:val="0"/>
          <w:i/>
          <w:color w:val="5B6578"/>
        </w:rPr>
        <w:t>(Art. 10.1)</w:t>
      </w:r>
    </w:p>
    <w:p>
      <w:pPr>
        <w:pStyle w:val="ListBullet"/>
      </w:pPr>
      <w:r>
        <w:rPr>
          <w:b w:val="0"/>
          <w:i w:val="0"/>
        </w:rPr>
        <w:t xml:space="preserve">L'accord est suivi chaque année en CSSCT centrale, avec une clause de revoyure au bout d'un an </w:t>
      </w:r>
      <w:r>
        <w:rPr>
          <w:b w:val="0"/>
          <w:i/>
          <w:color w:val="5B6578"/>
        </w:rPr>
        <w:t>(Art. 12.1)</w:t>
      </w:r>
    </w:p>
    <w:p>
      <w:r>
        <w:rPr>
          <w:color w:val="5B6578"/>
          <w:sz w:val="16"/>
        </w:rPr>
        <w:t>────────────────────────────────────────</w:t>
      </w:r>
    </w:p>
    <w:p>
      <w:pPr>
        <w:pStyle w:val="Heading2"/>
      </w:pPr>
      <w:r>
        <w:rPr>
          <w:b w:val="0"/>
          <w:i w:val="0"/>
        </w:rPr>
        <w:t>Suivi de l'accord</w:t>
      </w:r>
    </w:p>
    <w:p>
      <w:pPr>
        <w:pStyle w:val="ListBullet"/>
      </w:pPr>
      <w:r>
        <w:rPr>
          <w:b/>
          <w:i w:val="0"/>
        </w:rPr>
        <w:t>Commission de suivi</w:t>
      </w:r>
      <w:r>
        <w:rPr>
          <w:b w:val="0"/>
          <w:i w:val="0"/>
        </w:rPr>
        <w:t xml:space="preserve"> : le suivi de l'accord est assuré par la CSSCT centrale, qui se réunit au moins une fois par an (Article 12.1). Elle est chargée de vérifier le respect de l'application de l'accord, de suivre le nombre de salariés en télétravail, de suivre les entrées et sorties du dispositif (et leurs raisons), et de proposer des améliorations du texte et des pratiques (Article 12.1).</w:t>
      </w:r>
    </w:p>
    <w:p>
      <w:pPr>
        <w:pStyle w:val="ListBullet"/>
      </w:pPr>
      <w:r>
        <w:rPr>
          <w:b/>
          <w:i w:val="0"/>
        </w:rPr>
        <w:t>Bilan</w:t>
      </w:r>
      <w:r>
        <w:rPr>
          <w:b w:val="0"/>
          <w:i w:val="0"/>
        </w:rPr>
        <w:t xml:space="preserve"> : une rubrique spécifique est ajoutée au bilan social, mentionnant le nombre de salariés en télétravail et le bilan des demandes acceptées/refusées (Article 12.1).</w:t>
      </w:r>
    </w:p>
    <w:p>
      <w:pPr>
        <w:pStyle w:val="ListBullet"/>
      </w:pPr>
      <w:r>
        <w:rPr>
          <w:b/>
          <w:i w:val="0"/>
        </w:rPr>
        <w:t>Saisine ad hoc</w:t>
      </w:r>
      <w:r>
        <w:rPr>
          <w:b w:val="0"/>
          <w:i w:val="0"/>
        </w:rPr>
        <w:t xml:space="preserve"> : la commission de suivi peut être saisie, à l'initiative de l'employeur ou d'un salarié, pour des situations particulières (Article 12.1).</w:t>
      </w:r>
    </w:p>
    <w:p>
      <w:pPr>
        <w:pStyle w:val="ListBullet"/>
      </w:pPr>
      <w:r>
        <w:rPr>
          <w:b/>
          <w:i w:val="0"/>
        </w:rPr>
        <w:t>Clause de revoyure</w:t>
      </w:r>
      <w:r>
        <w:rPr>
          <w:b w:val="0"/>
          <w:i w:val="0"/>
        </w:rPr>
        <w:t xml:space="preserve"> : une réunion de « revoyure » est prévue au terme de la première année d'application de l'accord, pour envisager son éventuelle adaptation (Article 12.1).</w:t>
      </w:r>
    </w:p>
    <w:p>
      <w:pPr>
        <w:pStyle w:val="ListBullet"/>
      </w:pPr>
      <w:r>
        <w:rPr>
          <w:b/>
          <w:i w:val="0"/>
        </w:rPr>
        <w:t>Durée de l'accord</w:t>
      </w:r>
      <w:r>
        <w:rPr>
          <w:b w:val="0"/>
          <w:i w:val="0"/>
        </w:rPr>
        <w:t xml:space="preserve"> : durée indéterminée ; entrée en vigueur le mois suivant son dépôt (Article 12.2).</w:t>
      </w:r>
    </w:p>
    <w:p>
      <w:pPr>
        <w:pStyle w:val="ListBullet"/>
      </w:pPr>
      <w:r>
        <w:rPr>
          <w:b/>
          <w:i w:val="0"/>
        </w:rPr>
        <w:t>Révision</w:t>
      </w:r>
      <w:r>
        <w:rPr>
          <w:b w:val="0"/>
          <w:i w:val="0"/>
        </w:rPr>
        <w:t xml:space="preserve"> : procédure renvoyant à l'article L. 2261-7-1 du Code du travail (Article 12.3).</w:t>
      </w:r>
    </w:p>
    <w:p>
      <w:pPr>
        <w:pStyle w:val="ListBullet"/>
      </w:pPr>
      <w:r>
        <w:rPr>
          <w:b/>
          <w:i w:val="0"/>
        </w:rPr>
        <w:t>Dénonciation</w:t>
      </w:r>
      <w:r>
        <w:rPr>
          <w:b w:val="0"/>
          <w:i w:val="0"/>
        </w:rPr>
        <w:t xml:space="preserve"> : possible à tout moment par lettre recommandée avec accusé de réception ; l'accord cesse en principe de s'appliquer au dernier jour des mandats des membres du CSE ; déclaration à déposer auprès de l'Unité Territoriale de Maine-et-Loire de la DIRECCTE d'Angers (Article 12.4).</w:t>
      </w:r>
    </w:p>
    <w:p>
      <w:r>
        <w:rPr>
          <w:color w:val="5B6578"/>
          <w:sz w:val="16"/>
        </w:rPr>
        <w:t>────────────────────────────────────────</w:t>
      </w:r>
    </w:p>
    <w:p>
      <w:r>
        <w:rPr>
          <w:b w:val="0"/>
          <w:i/>
          <w:color w:val="5B6578"/>
        </w:rPr>
        <w:t>Base : accord signé le 27 avril 2021 (CGT-FO, Sud Santé-Sociaux, CFDT, CFE-CGC).</w:t>
      </w:r>
    </w:p>
    <w:p>
      <w:r>
        <w:rPr>
          <w:b w:val="0"/>
          <w:i/>
          <w:color w:val="5B6578"/>
        </w:rPr>
        <w:t xml:space="preserve">Les références entre parenthèses renvoient aux articles de l'accord. Seul le texte intégral fait référence : </w:t>
      </w:r>
      <w:r>
        <w:rPr>
          <w:b w:val="0"/>
          <w:i/>
          <w:color w:val="5B6578"/>
        </w:rPr>
        <w:t>accord complet (PDF)</w:t>
      </w:r>
      <w:r>
        <w:rPr>
          <w:b w:val="0"/>
          <w:i/>
          <w:color w:val="5B6578"/>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