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jc w:val="center"/>
        <w:rPr>
          <w:rFonts w:ascii="宋体" w:cs="宋体" w:hAnsi="宋体" w:eastAsia="宋体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sz w:val="32"/>
          <w:szCs w:val="32"/>
          <w:rtl w:val="0"/>
          <w:lang w:val="zh-CN" w:eastAsia="zh-CN"/>
        </w:rPr>
        <w:t>问题回答</w:t>
      </w:r>
      <w:r>
        <w:rPr>
          <w:rFonts w:ascii="宋体" w:cs="宋体" w:hAnsi="宋体" w:eastAsia="宋体"/>
          <w:sz w:val="32"/>
          <w:szCs w:val="32"/>
          <w:rtl w:val="0"/>
          <w:lang w:val="zh-CN" w:eastAsia="zh-CN"/>
        </w:rPr>
        <w:t>3</w:t>
      </w:r>
    </w:p>
    <w:p>
      <w:pPr>
        <w:pStyle w:val="正文 A"/>
        <w:pBdr>
          <w:top w:val="nil"/>
          <w:left w:val="nil"/>
          <w:bottom w:val="nil"/>
          <w:right w:val="nil"/>
        </w:pBdr>
        <w:spacing w:line="400" w:lineRule="exact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组号：第二组</w:t>
      </w:r>
    </w:p>
    <w:p>
      <w:pPr>
        <w:pStyle w:val="正文 A"/>
        <w:pBdr>
          <w:top w:val="nil"/>
          <w:left w:val="nil"/>
          <w:bottom w:val="nil"/>
          <w:right w:val="nil"/>
        </w:pBdr>
        <w:spacing w:line="400" w:lineRule="exact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  <w:r>
        <w:rPr>
          <w:rFonts w:ascii="宋体" w:cs="宋体" w:hAnsi="宋体" w:eastAsia="宋体" w:hint="eastAsia"/>
          <w:sz w:val="21"/>
          <w:szCs w:val="21"/>
          <w:rtl w:val="0"/>
          <w:lang w:val="zh-TW" w:eastAsia="zh-TW"/>
        </w:rPr>
        <w:t>组长：黄河</w:t>
      </w:r>
      <w:r>
        <w:rPr>
          <w:rFonts w:ascii="宋体" w:cs="宋体" w:hAnsi="宋体" w:eastAsia="宋体"/>
          <w:sz w:val="21"/>
          <w:szCs w:val="21"/>
          <w:rtl w:val="0"/>
          <w:lang w:val="zh-CN" w:eastAsia="zh-CN"/>
        </w:rPr>
        <w:t>mf1532030</w:t>
      </w:r>
    </w:p>
    <w:p>
      <w:pPr>
        <w:pStyle w:val="正文 A"/>
        <w:pBdr>
          <w:top w:val="nil"/>
          <w:left w:val="nil"/>
          <w:bottom w:val="nil"/>
          <w:right w:val="nil"/>
        </w:pBdr>
        <w:spacing w:line="400" w:lineRule="exact"/>
        <w:rPr>
          <w:rFonts w:ascii="Arial Unicode MS" w:cs="Arial Unicode MS" w:hAnsi="Arial Unicode MS" w:eastAsia="Arial Unicode MS"/>
        </w:rPr>
      </w:pPr>
      <w:r>
        <w:rPr>
          <w:rFonts w:ascii="宋体" w:cs="宋体" w:hAnsi="宋体" w:eastAsia="宋体" w:hint="eastAsia"/>
          <w:sz w:val="21"/>
          <w:szCs w:val="21"/>
          <w:rtl w:val="0"/>
          <w:lang w:val="zh-TW" w:eastAsia="zh-TW"/>
        </w:rPr>
        <w:t>组员：</w:t>
      </w:r>
      <w:r>
        <w:rPr>
          <w:rFonts w:ascii="宋体" w:cs="宋体" w:hAnsi="宋体" w:eastAsia="宋体" w:hint="eastAsia"/>
          <w:rtl w:val="0"/>
          <w:lang w:val="zh-TW" w:eastAsia="zh-TW"/>
        </w:rPr>
        <w:t>李宇航</w:t>
      </w:r>
      <w:r>
        <w:rPr>
          <w:rFonts w:ascii="宋体" w:cs="宋体" w:hAnsi="宋体" w:eastAsia="宋体"/>
          <w:rtl w:val="0"/>
          <w:lang w:val="zh-CN" w:eastAsia="zh-CN"/>
        </w:rPr>
        <w:t>mf1532038</w:t>
      </w:r>
      <w:r>
        <w:rPr>
          <w:rFonts w:ascii="宋体" w:cs="宋体" w:hAnsi="宋体" w:eastAsia="宋体"/>
          <w:rtl w:val="0"/>
          <w:lang w:val="zh-TW" w:eastAsia="zh-TW"/>
        </w:rPr>
        <w:t>,</w:t>
      </w:r>
      <w:r>
        <w:rPr>
          <w:rFonts w:ascii="宋体" w:cs="宋体" w:hAnsi="宋体" w:eastAsia="宋体" w:hint="eastAsia"/>
          <w:sz w:val="21"/>
          <w:szCs w:val="21"/>
          <w:rtl w:val="0"/>
          <w:lang w:val="zh-TW" w:eastAsia="zh-TW"/>
        </w:rPr>
        <w:t>孙瑞洋</w:t>
      </w:r>
      <w:r>
        <w:rPr>
          <w:rFonts w:ascii="宋体" w:cs="宋体" w:hAnsi="宋体" w:eastAsia="宋体"/>
          <w:sz w:val="21"/>
          <w:szCs w:val="21"/>
          <w:rtl w:val="0"/>
          <w:lang w:val="zh-CN" w:eastAsia="zh-CN"/>
        </w:rPr>
        <w:t>mf1532058</w:t>
      </w:r>
      <w:r>
        <w:rPr>
          <w:rFonts w:ascii="Times New Roman" w:hAnsi="Times New Roman"/>
          <w:sz w:val="21"/>
          <w:szCs w:val="21"/>
          <w:rtl w:val="0"/>
          <w:lang w:val="en-US"/>
        </w:rPr>
        <w:t>,</w:t>
      </w:r>
      <w:r>
        <w:rPr>
          <w:rFonts w:ascii="宋体" w:cs="宋体" w:hAnsi="宋体" w:eastAsia="宋体" w:hint="eastAsia"/>
          <w:sz w:val="21"/>
          <w:szCs w:val="21"/>
          <w:rtl w:val="0"/>
          <w:lang w:val="zh-TW" w:eastAsia="zh-TW"/>
        </w:rPr>
        <w:t>唐华发</w:t>
      </w:r>
      <w:r>
        <w:rPr>
          <w:rFonts w:ascii="宋体" w:cs="宋体" w:hAnsi="宋体" w:eastAsia="宋体"/>
          <w:sz w:val="21"/>
          <w:szCs w:val="21"/>
          <w:rtl w:val="0"/>
          <w:lang w:val="zh-CN" w:eastAsia="zh-CN"/>
        </w:rPr>
        <w:t>mf1532059</w:t>
      </w:r>
      <w:r>
        <w:rPr>
          <w:rFonts w:ascii="Times New Roman" w:hAnsi="Times New Roman"/>
          <w:sz w:val="21"/>
          <w:szCs w:val="21"/>
          <w:rtl w:val="0"/>
          <w:lang w:val="en-US"/>
        </w:rPr>
        <w:t>,</w:t>
      </w:r>
      <w:r>
        <w:rPr>
          <w:rFonts w:ascii="宋体" w:cs="宋体" w:hAnsi="宋体" w:eastAsia="宋体" w:hint="eastAsia"/>
          <w:rtl w:val="0"/>
          <w:lang w:val="zh-TW" w:eastAsia="zh-TW"/>
        </w:rPr>
        <w:t>唐峥峥</w:t>
      </w:r>
      <w:r>
        <w:rPr>
          <w:rFonts w:ascii="宋体" w:cs="宋体" w:hAnsi="宋体" w:eastAsia="宋体"/>
          <w:rtl w:val="0"/>
          <w:lang w:val="zh-CN" w:eastAsia="zh-CN"/>
        </w:rPr>
        <w:t>mf1532060</w:t>
      </w:r>
      <w:r>
        <w:rPr>
          <w:rFonts w:ascii="Times New Roman" w:hAnsi="Times New Roman"/>
          <w:rtl w:val="0"/>
          <w:lang w:val="en-US"/>
        </w:rPr>
        <w:t>,</w:t>
      </w:r>
      <w:r>
        <w:rPr>
          <w:rFonts w:ascii="宋体" w:cs="宋体" w:hAnsi="宋体" w:eastAsia="宋体" w:hint="eastAsia"/>
          <w:sz w:val="21"/>
          <w:szCs w:val="21"/>
          <w:rtl w:val="0"/>
          <w:lang w:val="zh-TW" w:eastAsia="zh-TW"/>
        </w:rPr>
        <w:t>赵秀丽</w:t>
      </w:r>
      <w:r>
        <w:rPr>
          <w:rFonts w:ascii="宋体" w:cs="宋体" w:hAnsi="宋体" w:eastAsia="宋体"/>
          <w:sz w:val="21"/>
          <w:szCs w:val="21"/>
          <w:rtl w:val="0"/>
          <w:lang w:val="zh-CN" w:eastAsia="zh-CN"/>
        </w:rPr>
        <w:t>mf1532103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535940</wp:posOffset>
            </wp:positionV>
            <wp:extent cx="5406549" cy="446106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549" cy="44610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spacing w:line="400" w:lineRule="exact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拓扑：</w:t>
      </w:r>
    </w:p>
    <w:p>
      <w:pPr>
        <w:pStyle w:val="正文 A"/>
        <w:spacing w:line="400" w:lineRule="exact"/>
        <w:rPr>
          <w:b w:val="1"/>
          <w:bCs w:val="1"/>
        </w:rPr>
      </w:pPr>
    </w:p>
    <w:p>
      <w:pPr>
        <w:pStyle w:val="正文 A"/>
        <w:spacing w:line="400" w:lineRule="exact"/>
        <w:rPr>
          <w:b w:val="1"/>
          <w:bCs w:val="1"/>
        </w:rPr>
      </w:pPr>
    </w:p>
    <w:p>
      <w:pPr>
        <w:pStyle w:val="正文 A"/>
        <w:spacing w:line="400" w:lineRule="exact"/>
        <w:rPr>
          <w:b w:val="1"/>
          <w:bCs w:val="1"/>
        </w:rPr>
      </w:pPr>
    </w:p>
    <w:p>
      <w:pPr>
        <w:pStyle w:val="正文 A"/>
        <w:spacing w:line="400" w:lineRule="exact"/>
        <w:rPr>
          <w:b w:val="1"/>
          <w:bCs w:val="1"/>
        </w:rPr>
      </w:pPr>
    </w:p>
    <w:p>
      <w:pPr>
        <w:pStyle w:val="正文 A"/>
        <w:spacing w:line="400" w:lineRule="exact"/>
        <w:rPr>
          <w:b w:val="1"/>
          <w:bCs w:val="1"/>
        </w:rPr>
      </w:pPr>
    </w:p>
    <w:p>
      <w:pPr>
        <w:pStyle w:val="正文 A"/>
        <w:spacing w:line="400" w:lineRule="exact"/>
        <w:rPr>
          <w:b w:val="1"/>
          <w:bCs w:val="1"/>
        </w:rPr>
      </w:pPr>
    </w:p>
    <w:p>
      <w:pPr>
        <w:pStyle w:val="正文 A"/>
        <w:spacing w:line="400" w:lineRule="exact"/>
        <w:rPr>
          <w:b w:val="1"/>
          <w:bCs w:val="1"/>
        </w:rPr>
      </w:pPr>
    </w:p>
    <w:p>
      <w:pPr>
        <w:pStyle w:val="正文 A"/>
        <w:spacing w:line="400" w:lineRule="exact"/>
        <w:rPr>
          <w:b w:val="1"/>
          <w:bCs w:val="1"/>
        </w:rPr>
      </w:pPr>
    </w:p>
    <w:p>
      <w:pPr>
        <w:pStyle w:val="正文 A"/>
        <w:spacing w:line="400" w:lineRule="exact"/>
        <w:rPr>
          <w:b w:val="1"/>
          <w:bCs w:val="1"/>
        </w:rPr>
      </w:pPr>
    </w:p>
    <w:p>
      <w:pPr>
        <w:pStyle w:val="正文 A"/>
        <w:spacing w:line="400" w:lineRule="exact"/>
        <w:rPr>
          <w:b w:val="1"/>
          <w:bCs w:val="1"/>
        </w:rPr>
      </w:pPr>
    </w:p>
    <w:p>
      <w:pPr>
        <w:pStyle w:val="正文 A"/>
        <w:spacing w:line="400" w:lineRule="exact"/>
        <w:rPr>
          <w:b w:val="1"/>
          <w:bCs w:val="1"/>
        </w:rPr>
      </w:pPr>
    </w:p>
    <w:p>
      <w:pPr>
        <w:pStyle w:val="正文 A"/>
        <w:spacing w:line="400" w:lineRule="exact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zh-CN" w:eastAsia="zh-CN"/>
        </w:rPr>
        <w:t>描述：</w:t>
      </w:r>
    </w:p>
    <w:p>
      <w:pPr>
        <w:pStyle w:val="正文 A"/>
        <w:spacing w:line="400" w:lineRule="exact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CN" w:eastAsia="zh-CN"/>
        </w:rPr>
        <w:t>按照以下命名配置</w:t>
      </w:r>
      <w:r>
        <w:rPr>
          <w:rFonts w:ascii="宋体" w:cs="宋体" w:hAnsi="宋体" w:eastAsia="宋体"/>
          <w:rtl w:val="0"/>
          <w:lang w:val="zh-CN" w:eastAsia="zh-CN"/>
        </w:rPr>
        <w:t>bgp</w:t>
      </w:r>
      <w:r>
        <w:rPr>
          <w:rFonts w:ascii="宋体" w:cs="宋体" w:hAnsi="宋体" w:eastAsia="宋体"/>
          <w:rtl w:val="0"/>
          <w:lang w:val="zh-CN" w:eastAsia="zh-CN"/>
        </w:rPr>
        <w:t>后，</w:t>
      </w:r>
      <w:r>
        <w:rPr>
          <w:rFonts w:ascii="宋体" w:cs="宋体" w:hAnsi="宋体" w:eastAsia="宋体"/>
          <w:rtl w:val="0"/>
          <w:lang w:val="en-US"/>
        </w:rPr>
        <w:t>RTA</w:t>
      </w:r>
      <w:r>
        <w:rPr>
          <w:rFonts w:ascii="宋体" w:cs="宋体" w:hAnsi="宋体" w:eastAsia="宋体"/>
          <w:rtl w:val="0"/>
          <w:lang w:val="zh-CN" w:eastAsia="zh-CN"/>
        </w:rPr>
        <w:t>将通过</w:t>
      </w:r>
      <w:r>
        <w:rPr>
          <w:rFonts w:ascii="宋体" w:cs="宋体" w:hAnsi="宋体" w:eastAsia="宋体"/>
          <w:rtl w:val="0"/>
          <w:lang w:val="zh-CN" w:eastAsia="zh-CN"/>
        </w:rPr>
        <w:t>192.168.1.0</w:t>
      </w:r>
      <w:r>
        <w:rPr>
          <w:rFonts w:ascii="宋体" w:cs="宋体" w:hAnsi="宋体" w:eastAsia="宋体"/>
          <w:rtl w:val="0"/>
          <w:lang w:val="zh-CN" w:eastAsia="zh-CN"/>
        </w:rPr>
        <w:t>这条链路到达</w:t>
      </w:r>
      <w:r>
        <w:rPr>
          <w:rFonts w:ascii="宋体" w:cs="宋体" w:hAnsi="宋体" w:eastAsia="宋体"/>
          <w:rtl w:val="0"/>
          <w:lang w:val="zh-CN" w:eastAsia="zh-CN"/>
        </w:rPr>
        <w:t>200.100.50.0/24</w:t>
      </w:r>
      <w:r>
        <w:rPr>
          <w:rFonts w:ascii="宋体" w:cs="宋体" w:hAnsi="宋体" w:eastAsia="宋体"/>
          <w:rtl w:val="0"/>
          <w:lang w:val="zh-CN" w:eastAsia="zh-CN"/>
        </w:rPr>
        <w:t>。</w:t>
      </w:r>
      <w:r>
        <w:rPr>
          <w:rFonts w:ascii="宋体" w:cs="宋体" w:hAnsi="宋体" w:eastAsia="宋体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4625340</wp:posOffset>
            </wp:positionV>
            <wp:extent cx="5270500" cy="91619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720"/>
                <wp:lineTo x="0" y="2172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161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spacing w:line="400" w:lineRule="exact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CN" w:eastAsia="zh-CN"/>
        </w:rPr>
        <w:t>我们再通过以下命令设置</w:t>
      </w:r>
      <w:r>
        <w:rPr>
          <w:rFonts w:ascii="宋体" w:cs="宋体" w:hAnsi="宋体" w:eastAsia="宋体"/>
          <w:rtl w:val="0"/>
          <w:lang w:val="zh-CN" w:eastAsia="zh-CN"/>
        </w:rPr>
        <w:t>A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2140502</wp:posOffset>
            </wp:positionV>
            <wp:extent cx="5270500" cy="375991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599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cs="宋体" w:hAnsi="宋体" w:eastAsia="宋体"/>
          <w:rtl w:val="0"/>
          <w:lang w:val="zh-CN" w:eastAsia="zh-CN"/>
        </w:rPr>
        <w:t>S300</w:t>
      </w:r>
      <w:r>
        <w:rPr>
          <w:rFonts w:ascii="宋体" w:cs="宋体" w:hAnsi="宋体" w:eastAsia="宋体"/>
          <w:rtl w:val="0"/>
          <w:lang w:val="zh-CN" w:eastAsia="zh-CN"/>
        </w:rPr>
        <w:t>的优先级为</w:t>
      </w:r>
      <w:r>
        <w:rPr>
          <w:rFonts w:ascii="宋体" w:cs="宋体" w:hAnsi="宋体" w:eastAsia="宋体"/>
          <w:rtl w:val="0"/>
          <w:lang w:val="zh-CN" w:eastAsia="zh-CN"/>
        </w:rPr>
        <w:t>150</w:t>
      </w:r>
      <w:r>
        <w:rPr>
          <w:rFonts w:ascii="宋体" w:cs="宋体" w:hAnsi="宋体" w:eastAsia="宋体"/>
          <w:rtl w:val="0"/>
          <w:lang w:val="zh-CN" w:eastAsia="zh-CN"/>
        </w:rPr>
        <w:t>，比缺省的</w:t>
      </w:r>
      <w:r>
        <w:rPr>
          <w:rFonts w:ascii="宋体" w:cs="宋体" w:hAnsi="宋体" w:eastAsia="宋体"/>
          <w:rtl w:val="0"/>
          <w:lang w:val="zh-CN" w:eastAsia="zh-CN"/>
        </w:rPr>
        <w:t>100</w:t>
      </w:r>
      <w:r>
        <w:rPr>
          <w:rFonts w:ascii="宋体" w:cs="宋体" w:hAnsi="宋体" w:eastAsia="宋体"/>
          <w:rtl w:val="0"/>
          <w:lang w:val="zh-CN" w:eastAsia="zh-CN"/>
        </w:rPr>
        <w:t>要高</w:t>
      </w:r>
    </w:p>
    <w:p>
      <w:pPr>
        <w:pStyle w:val="正文 A"/>
        <w:spacing w:line="400" w:lineRule="exact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CN" w:eastAsia="zh-CN"/>
        </w:rPr>
        <w:t>这个时候，</w:t>
      </w:r>
      <w:r>
        <w:rPr>
          <w:rFonts w:ascii="宋体" w:cs="宋体" w:hAnsi="宋体" w:eastAsia="宋体"/>
          <w:rtl w:val="0"/>
        </w:rPr>
        <w:t>RTA</w:t>
      </w:r>
      <w:r>
        <w:rPr>
          <w:rFonts w:ascii="宋体" w:cs="宋体" w:hAnsi="宋体" w:eastAsia="宋体"/>
          <w:rtl w:val="0"/>
          <w:lang w:val="zh-CN" w:eastAsia="zh-CN"/>
        </w:rPr>
        <w:t>到达</w:t>
      </w:r>
      <w:r>
        <w:rPr>
          <w:rFonts w:ascii="宋体" w:cs="宋体" w:hAnsi="宋体" w:eastAsia="宋体"/>
          <w:rtl w:val="0"/>
        </w:rPr>
        <w:t>200.100.50.0/24</w:t>
      </w:r>
      <w:r>
        <w:rPr>
          <w:rFonts w:ascii="宋体" w:cs="宋体" w:hAnsi="宋体" w:eastAsia="宋体"/>
          <w:rtl w:val="0"/>
          <w:lang w:val="zh-CN" w:eastAsia="zh-CN"/>
        </w:rPr>
        <w:t>的链路将会是通过</w:t>
      </w:r>
      <w:r>
        <w:rPr>
          <w:rFonts w:ascii="宋体" w:cs="宋体" w:hAnsi="宋体" w:eastAsia="宋体"/>
          <w:rtl w:val="0"/>
          <w:lang w:val="zh-CN" w:eastAsia="zh-CN"/>
        </w:rPr>
        <w:t>RTC</w:t>
      </w:r>
      <w:r>
        <w:rPr>
          <w:rFonts w:ascii="宋体" w:cs="宋体" w:hAnsi="宋体" w:eastAsia="宋体"/>
          <w:rtl w:val="0"/>
          <w:lang w:val="zh-CN" w:eastAsia="zh-CN"/>
        </w:rPr>
        <w:t>的那一条了。</w:t>
      </w:r>
    </w:p>
    <w:p>
      <w:pPr>
        <w:pStyle w:val="正文 A"/>
        <w:spacing w:line="400" w:lineRule="exact"/>
      </w:pPr>
    </w:p>
    <w:p>
      <w:pPr>
        <w:pStyle w:val="正文 A"/>
        <w:spacing w:line="400" w:lineRule="exact"/>
      </w:pPr>
    </w:p>
    <w:p>
      <w:pPr>
        <w:pStyle w:val="正文 A"/>
        <w:spacing w:line="400" w:lineRule="exact"/>
      </w:pPr>
    </w:p>
    <w:p>
      <w:pPr>
        <w:pStyle w:val="正文 A"/>
        <w:spacing w:line="400" w:lineRule="exact"/>
        <w:rPr>
          <w:b w:val="1"/>
          <w:bCs w:val="1"/>
        </w:rPr>
      </w:pPr>
    </w:p>
    <w:p>
      <w:pPr>
        <w:pStyle w:val="正文 A"/>
        <w:spacing w:line="400" w:lineRule="exact"/>
      </w:pPr>
      <w:r>
        <w:rPr>
          <w:b w:val="1"/>
          <w:bCs w:val="1"/>
        </w:rPr>
      </w:r>
    </w:p>
    <w:sectPr>
      <w:headerReference w:type="default" r:id="rId7"/>
      <w:footerReference w:type="default" r:id="rId8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