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00" w:before="360"/>
      </w:pPr>
      <w:r>
        <w:rPr>
          <w:rFonts w:ascii="Arial" w:cs="Arial" w:eastAsia="Arial" w:hAnsi="Arial"/>
          <w:b/>
          <w:bCs/>
          <w:sz w:val="36"/>
          <w:szCs w:val="36"/>
        </w:rPr>
        <w:t xml:space="preserve">NEXUS Virtual Software House: Automations, Integrations, Security and Operations</w:t>
      </w:r>
    </w:p>
    <w:p>
      <w:pPr>
        <w:spacing w:after="60" w:before="60"/>
      </w:pPr>
    </w:p>
    <w:p>
      <w:pPr>
        <w:pStyle w:val="Heading2"/>
        <w:spacing w:after="160" w:before="300"/>
      </w:pPr>
      <w:r>
        <w:rPr>
          <w:rFonts w:ascii="Arial" w:cs="Arial" w:eastAsia="Arial" w:hAnsi="Arial"/>
          <w:b/>
          <w:bCs/>
          <w:sz w:val="30"/>
          <w:szCs w:val="30"/>
        </w:rPr>
        <w:t xml:space="preserve">A Comprehensive Technical Reference for the NEXUS Orchestration Engine</w:t>
      </w:r>
    </w:p>
    <w:p>
      <w:pPr>
        <w:spacing w:after="60" w:before="60"/>
      </w:pPr>
    </w:p>
    <w:p>
      <w:pPr>
        <w:spacing w:after="60" w:before="60"/>
      </w:pPr>
      <w:r>
        <w:rPr>
          <w:rFonts w:ascii="Arial" w:cs="Arial" w:eastAsia="Arial" w:hAnsi="Arial"/>
          <w:sz w:val="22"/>
          <w:szCs w:val="22"/>
        </w:rPr>
        <w:t xml:space="preserve">This document provides an exhaustive, narrative-driven exploration of every automation system, external integration, security mechanism, and operational consideration that powers the NEXUS Virtual Software House within MemorAid. NEXUS is not merely a feature of the MemorAid platform; it is an entire AI-orchestrated software development pipeline that simulates the collective intelligence of a full technology company, complete with thirteen specialized departments, five distinct AI model providers, a rules-based automation engine, external workflow orchestration through N8N, a dedicated Bot API for Claude Code integration, and a deeply layered security architecture designed to protect sensitive healthcare data.</w:t>
      </w:r>
    </w:p>
    <w:p>
      <w:pPr>
        <w:spacing w:after="60" w:before="60"/>
      </w:pPr>
    </w:p>
    <w:p>
      <w:pPr>
        <w:spacing w:after="60" w:before="60"/>
      </w:pPr>
      <w:r>
        <w:rPr>
          <w:rFonts w:ascii="Arial" w:cs="Arial" w:eastAsia="Arial" w:hAnsi="Arial"/>
          <w:sz w:val="22"/>
          <w:szCs w:val="22"/>
        </w:rPr>
        <w:t xml:space="preserve">MemorAid itself is a healthcare SaaS product built for families caring for loved ones with dementia and Alzheimer's disease. The families using this platform are under extraordinary emotional and logistical pressure, and the data they entrust to the system includes some of the most sensitive categories of personal information imaginable: medical records, insurance numbers, government identification numbers, medication schedules, and behavioral observations. This context is critical to understanding why the security and operational decisions described in this document take the shape they do. Every automation rule, every API integration, every encryption decision, and every fallback mechanism exists within the broader context of a system that must be both powerful enough to orchestrate complex AI research across multiple providers and careful enough to protect vulnerable people and their most private information.</w:t>
      </w:r>
    </w:p>
    <w:p>
      <w:pPr>
        <w:spacing w:after="60" w:before="60"/>
      </w:pPr>
    </w:p>
    <w:p>
      <w:pPr>
        <w:spacing w:after="60" w:before="60"/>
      </w:pPr>
      <w:r>
        <w:rPr>
          <w:rFonts w:ascii="Arial" w:cs="Arial" w:eastAsia="Arial" w:hAnsi="Arial"/>
          <w:sz w:val="22"/>
          <w:szCs w:val="22"/>
        </w:rPr>
        <w:t xml:space="preserve">The NEXUS system was designed from the beginning to operate in a unique development paradigm. There is no traditional human development team. All code is written by Claude Code AI, an autonomous coding agent that receives structured prompts and produces complete implementations. This means that the automation systems described here serve a dual purpose: they automate the research and planning pipeline that generates development briefs, and they also automate the handoff between the AI planning system (NEXUS) and the AI implementation system (Claude Code). The Bot API, the task extraction pipeline, the sprint generation system, and the automation rules engine all exist to create a seamless flow from idea to research to plan to implementation, with human oversight at critical decision points but AI execution at every step.</w:t>
      </w:r>
    </w:p>
    <w:p>
      <w:pPr>
        <w:spacing w:after="60" w:before="60"/>
      </w:pPr>
    </w:p>
    <w:p>
      <w:pPr>
        <w:spacing w:after="60" w:before="60"/>
      </w:pPr>
      <w:r>
        <w:rPr>
          <w:rFonts w:ascii="Arial" w:cs="Arial" w:eastAsia="Arial" w:hAnsi="Arial"/>
          <w:sz w:val="22"/>
          <w:szCs w:val="22"/>
        </w:rPr>
        <w:t xml:space="preserve">This document is organized into eleven major parts, each exploring a different facet of the operational infrastructure. The first part examines the automation rules engine, which allows administrators to define event-driven actions that fire automatically when specific conditions are met within the NEXUS pipeline. The second part explores the N8N integration, which bridges NEXUS to external workflow automation tools for enhanced web research capabilities. The third part details the Bot API, a purpose-built interface that allows Claude Code to report back on task completion during implementation. Parts four through six cover the security architecture in depth, from authentication and encryption to role-based access control. Part seven catalogs every external service integration and explains how each provider is used, when it is called, and how it degrades gracefully. Parts eight and nine examine error handling patterns and cost tracking, respectively. Part ten provides a complete environment variable reference, and part eleven offers an honest assessment of what works, what is partially built, and what still needs attention.</w:t>
      </w:r>
    </w:p>
    <w:p>
      <w:pPr>
        <w:spacing w:after="60" w:before="60"/>
      </w:pPr>
    </w:p>
    <w:p>
      <w:pPr>
        <w:pBdr>
          <w:bottom w:val="single" w:color="CCCCCC" w:sz="3" w:space="1"/>
        </w:pBdr>
        <w:spacing w:after="120" w:before="120"/>
      </w:pPr>
    </w:p>
    <w:p>
      <w:pPr>
        <w:spacing w:after="60" w:before="60"/>
      </w:pPr>
    </w:p>
    <w:p>
      <w:pPr>
        <w:pStyle w:val="Heading2"/>
        <w:spacing w:after="160" w:before="300"/>
      </w:pPr>
      <w:r>
        <w:rPr>
          <w:rFonts w:ascii="Arial" w:cs="Arial" w:eastAsia="Arial" w:hAnsi="Arial"/>
          <w:b/>
          <w:bCs/>
          <w:sz w:val="30"/>
          <w:szCs w:val="30"/>
        </w:rPr>
        <w:t xml:space="preserve">Part 1: The Automation Rules Engine</w:t>
      </w:r>
    </w:p>
    <w:p>
      <w:pPr>
        <w:spacing w:after="60" w:before="60"/>
      </w:pPr>
    </w:p>
    <w:p>
      <w:pPr>
        <w:pStyle w:val="Heading3"/>
        <w:spacing w:after="120" w:before="240"/>
      </w:pPr>
      <w:r>
        <w:rPr>
          <w:rFonts w:ascii="Arial" w:cs="Arial" w:eastAsia="Arial" w:hAnsi="Arial"/>
          <w:b/>
          <w:bCs/>
          <w:sz w:val="26"/>
          <w:szCs w:val="26"/>
        </w:rPr>
        <w:t xml:space="preserve">The Vision Behind Event-Driven Automation</w:t>
      </w:r>
    </w:p>
    <w:p>
      <w:pPr>
        <w:spacing w:after="60" w:before="60"/>
      </w:pPr>
    </w:p>
    <w:p>
      <w:pPr>
        <w:spacing w:after="60" w:before="60"/>
      </w:pPr>
      <w:r>
        <w:rPr>
          <w:rFonts w:ascii="Arial" w:cs="Arial" w:eastAsia="Arial" w:hAnsi="Arial"/>
          <w:sz w:val="22"/>
          <w:szCs w:val="22"/>
        </w:rPr>
        <w:t xml:space="preserve">At the heart of the NEXUS operational model lies a conviction that the transition from research to development should not require constant manual intervention. When a brief is approved by an administrator, the system should know what to do next. When research completes and produces a body of findings, the system should be capable of automatically extracting actionable tasks from those findings. When a sprint is generated, relevant stakeholders should be notified without anyone having to remember to send a message. The automation rules engine exists to encode these operational workflows as persistent, configurable rules that live in the database and can be managed through the admin interface.</w:t>
      </w:r>
    </w:p>
    <w:p>
      <w:pPr>
        <w:spacing w:after="60" w:before="60"/>
      </w:pPr>
    </w:p>
    <w:p>
      <w:pPr>
        <w:spacing w:after="60" w:before="60"/>
      </w:pPr>
      <w:r>
        <w:rPr>
          <w:rFonts w:ascii="Arial" w:cs="Arial" w:eastAsia="Arial" w:hAnsi="Arial"/>
          <w:sz w:val="22"/>
          <w:szCs w:val="22"/>
        </w:rPr>
        <w:t xml:space="preserve">The rules engine is built around a simple but powerful abstraction: a rule consists of a trigger, a condition, and an action. When an event occurs within the NEXUS pipeline (such as a brief changing status), the system evaluates all active rules whose trigger type matches that event. For each matching rule, the system checks whether the rule's conditions are satisfied. If they are, the system executes the rule's action. This pattern is sometimes called an Event-Condition-Action (ECA) architecture, and it is one of the most well-established patterns in enterprise automation.</w:t>
      </w:r>
    </w:p>
    <w:p>
      <w:pPr>
        <w:spacing w:after="60" w:before="60"/>
      </w:pPr>
    </w:p>
    <w:p>
      <w:pPr>
        <w:pStyle w:val="Heading3"/>
        <w:spacing w:after="120" w:before="240"/>
      </w:pPr>
      <w:r>
        <w:rPr>
          <w:rFonts w:ascii="Arial" w:cs="Arial" w:eastAsia="Arial" w:hAnsi="Arial"/>
          <w:b/>
          <w:bCs/>
          <w:sz w:val="26"/>
          <w:szCs w:val="26"/>
        </w:rPr>
        <w:t xml:space="preserve">The Database Schema for Rules</w:t>
      </w:r>
    </w:p>
    <w:p>
      <w:pPr>
        <w:spacing w:after="60" w:before="60"/>
      </w:pPr>
    </w:p>
    <w:p>
      <w:pPr>
        <w:spacing w:after="60" w:before="60"/>
      </w:pPr>
      <w:r>
        <w:rPr>
          <w:rFonts w:ascii="Arial" w:cs="Arial" w:eastAsia="Arial" w:hAnsi="Arial"/>
          <w:sz w:val="22"/>
          <w:szCs w:val="22"/>
        </w:rPr>
        <w:t xml:space="preserve">The rules are stored in the nexus_rules table, which is defined in the shared schema file using Drizzle ORM. Each rule has a UUID primary key generated randomly by the database. The name field is a varchar of up to 255 characters that serves as a human-readable identifier for the rule. The description field is an optional text column that allows administrators to document the purpose and behavior of the rule in more detail.</w:t>
      </w:r>
    </w:p>
    <w:p>
      <w:pPr>
        <w:spacing w:after="60" w:before="60"/>
      </w:pPr>
    </w:p>
    <w:p>
      <w:pPr>
        <w:spacing w:after="60" w:before="60"/>
      </w:pPr>
      <w:r>
        <w:rPr>
          <w:rFonts w:ascii="Arial" w:cs="Arial" w:eastAsia="Arial" w:hAnsi="Arial"/>
          <w:sz w:val="22"/>
          <w:szCs w:val="22"/>
        </w:rPr>
        <w:t xml:space="preserve">The trigger_type column is a varchar of up to 64 characters that specifies which NEXUS event will cause this rule to be evaluated. The condition_json column is a JSONB field that holds a structured condition object, allowing rules to express complex matching logic beyond just the trigger type. The action_type column is another varchar of up to 64 characters that specifies what the system should do when the rule fires. The action_payload column is an optional JSONB field that holds configuration data specific to the action type, such as the maximum number of tasks to extract or the URL of a webhook to call.</w:t>
      </w:r>
    </w:p>
    <w:p>
      <w:pPr>
        <w:spacing w:after="60" w:before="60"/>
      </w:pPr>
    </w:p>
    <w:p>
      <w:pPr>
        <w:spacing w:after="60" w:before="60"/>
      </w:pPr>
      <w:r>
        <w:rPr>
          <w:rFonts w:ascii="Arial" w:cs="Arial" w:eastAsia="Arial" w:hAnsi="Arial"/>
          <w:sz w:val="22"/>
          <w:szCs w:val="22"/>
        </w:rPr>
        <w:t xml:space="preserve">Rules also have a priority field, which is an integer that determines the order in which rules are evaluated when multiple rules match the same event. Higher priority rules are evaluated first. The is_active boolean field allows administrators to temporarily disable rules without deleting them. The created_at and updated_at timestamps track when the rule was created and last modified.</w:t>
      </w:r>
    </w:p>
    <w:p>
      <w:pPr>
        <w:spacing w:after="60" w:before="60"/>
      </w:pPr>
    </w:p>
    <w:p>
      <w:pPr>
        <w:pStyle w:val="Heading3"/>
        <w:spacing w:after="120" w:before="240"/>
      </w:pPr>
      <w:r>
        <w:rPr>
          <w:rFonts w:ascii="Arial" w:cs="Arial" w:eastAsia="Arial" w:hAnsi="Arial"/>
          <w:b/>
          <w:bCs/>
          <w:sz w:val="26"/>
          <w:szCs w:val="26"/>
        </w:rPr>
        <w:t xml:space="preserve">Trigger Types Explained in Depth</w:t>
      </w:r>
    </w:p>
    <w:p>
      <w:pPr>
        <w:spacing w:after="60" w:before="60"/>
      </w:pPr>
    </w:p>
    <w:p>
      <w:pPr>
        <w:spacing w:after="60" w:before="60"/>
      </w:pPr>
      <w:r>
        <w:rPr>
          <w:rFonts w:ascii="Arial" w:cs="Arial" w:eastAsia="Arial" w:hAnsi="Arial"/>
          <w:sz w:val="22"/>
          <w:szCs w:val="22"/>
        </w:rPr>
        <w:t xml:space="preserve">The system defines five primary trigger types, each corresponding to a significant state transition in the NEXUS pipeline.</w:t>
      </w:r>
    </w:p>
    <w:p>
      <w:pPr>
        <w:spacing w:after="60" w:before="60"/>
      </w:pPr>
    </w:p>
    <w:p>
      <w:pPr>
        <w:spacing w:after="60" w:before="60"/>
      </w:pPr>
      <w:r>
        <w:rPr>
          <w:rFonts w:ascii="Arial" w:cs="Arial" w:eastAsia="Arial" w:hAnsi="Arial"/>
          <w:sz w:val="22"/>
          <w:szCs w:val="22"/>
        </w:rPr>
        <w:t xml:space="preserve">The brief_approved trigger fires when an administrator reviews a completed research brief and changes its status from "review" to "approved." This is one of the most important moments in the NEXUS lifecycle because it represents the human decision point where research findings are validated and the system is authorized to proceed toward implementation. When a brief is approved, it typically means that the administrator has reviewed the findings from all thirteen departments, assessed the feasibility analysis from the CTO, validated the business case from the CEO and CFO, confirmed the security posture from the CISO, and determined that the project should move forward. The brief_approved trigger allows rules to automate the next steps after this critical decision.</w:t>
      </w:r>
    </w:p>
    <w:p>
      <w:pPr>
        <w:spacing w:after="60" w:before="60"/>
      </w:pPr>
    </w:p>
    <w:p>
      <w:pPr>
        <w:spacing w:after="60" w:before="60"/>
      </w:pPr>
      <w:r>
        <w:rPr>
          <w:rFonts w:ascii="Arial" w:cs="Arial" w:eastAsia="Arial" w:hAnsi="Arial"/>
          <w:sz w:val="22"/>
          <w:szCs w:val="22"/>
        </w:rPr>
        <w:t xml:space="preserve">The brief_rejected trigger fires when an administrator reviews a brief and decides not to proceed. This might happen because the research revealed insurmountable technical obstacles, because the financial analysis showed unacceptable costs, because the legal review identified blocking regulatory concerns, or because the competitive analysis showed that the market opportunity is not as strong as initially believed. When a brief is rejected, automation rules might log the rejection to an audit trail, send a notification to relevant stakeholders, or trigger a webhook that updates an external project management tool.</w:t>
      </w:r>
    </w:p>
    <w:p>
      <w:pPr>
        <w:spacing w:after="60" w:before="60"/>
      </w:pPr>
    </w:p>
    <w:p>
      <w:pPr>
        <w:spacing w:after="60" w:before="60"/>
      </w:pPr>
      <w:r>
        <w:rPr>
          <w:rFonts w:ascii="Arial" w:cs="Arial" w:eastAsia="Arial" w:hAnsi="Arial"/>
          <w:sz w:val="22"/>
          <w:szCs w:val="22"/>
        </w:rPr>
        <w:t xml:space="preserve">The research_done trigger fires when the NEXUS research pipeline completes its work and the brief transitions to the "review" status. This happens after all department agents have completed their analysis, the AI Development Translation step has synthesized the findings into a development brief, and the assembled document has been saved to the database. The research_done trigger is useful for rules that should fire as soon as research is available, before any human review has occurred. For example, a rule might automatically notify an administrator that a new brief is ready for review, or it might trigger a webhook that posts a message to a Slack channel.</w:t>
      </w:r>
    </w:p>
    <w:p>
      <w:pPr>
        <w:spacing w:after="60" w:before="60"/>
      </w:pPr>
    </w:p>
    <w:p>
      <w:pPr>
        <w:spacing w:after="60" w:before="60"/>
      </w:pPr>
      <w:r>
        <w:rPr>
          <w:rFonts w:ascii="Arial" w:cs="Arial" w:eastAsia="Arial" w:hAnsi="Arial"/>
          <w:sz w:val="22"/>
          <w:szCs w:val="22"/>
        </w:rPr>
        <w:t xml:space="preserve">The task_created trigger fires when the task extraction process completes and new tasks have been created from a brief's findings. Task extraction is a separate step that runs after a brief is approved, using AI to parse the department findings and generate structured, actionable development tasks. When tasks are created, automation rules might automatically assign them to a sprint, send notifications about the new work items, or trigger external integrations that sync the tasks to a project management tool.</w:t>
      </w:r>
    </w:p>
    <w:p>
      <w:pPr>
        <w:spacing w:after="60" w:before="60"/>
      </w:pPr>
    </w:p>
    <w:p>
      <w:pPr>
        <w:spacing w:after="60" w:before="60"/>
      </w:pPr>
      <w:r>
        <w:rPr>
          <w:rFonts w:ascii="Arial" w:cs="Arial" w:eastAsia="Arial" w:hAnsi="Arial"/>
          <w:sz w:val="22"/>
          <w:szCs w:val="22"/>
        </w:rPr>
        <w:t xml:space="preserve">The sprint_created trigger fires when a sprint is generated from a set of extracted tasks. Sprints in NEXUS represent time-boxed development cycles where Claude Code will implement the planned work. When a sprint is created, automation rules might notify the administrator that the sprint is ready, trigger a webhook that updates an external dashboard, or log the sprint creation to an audit trail for tracking purposes.</w:t>
      </w:r>
    </w:p>
    <w:p>
      <w:pPr>
        <w:spacing w:after="60" w:before="60"/>
      </w:pPr>
    </w:p>
    <w:p>
      <w:pPr>
        <w:pStyle w:val="Heading3"/>
        <w:spacing w:after="120" w:before="240"/>
      </w:pPr>
      <w:r>
        <w:rPr>
          <w:rFonts w:ascii="Arial" w:cs="Arial" w:eastAsia="Arial" w:hAnsi="Arial"/>
          <w:b/>
          <w:bCs/>
          <w:sz w:val="26"/>
          <w:szCs w:val="26"/>
        </w:rPr>
        <w:t xml:space="preserve">Action Types Explained in Depth</w:t>
      </w:r>
    </w:p>
    <w:p>
      <w:pPr>
        <w:spacing w:after="60" w:before="60"/>
      </w:pPr>
    </w:p>
    <w:p>
      <w:pPr>
        <w:spacing w:after="60" w:before="60"/>
      </w:pPr>
      <w:r>
        <w:rPr>
          <w:rFonts w:ascii="Arial" w:cs="Arial" w:eastAsia="Arial" w:hAnsi="Arial"/>
          <w:sz w:val="22"/>
          <w:szCs w:val="22"/>
        </w:rPr>
        <w:t xml:space="preserve">Each rule specifies an action type that determines what happens when the rule fires. The system defines five action types that cover the most common automation needs.</w:t>
      </w:r>
    </w:p>
    <w:p>
      <w:pPr>
        <w:spacing w:after="60" w:before="60"/>
      </w:pPr>
    </w:p>
    <w:p>
      <w:pPr>
        <w:spacing w:after="60" w:before="60"/>
      </w:pPr>
      <w:r>
        <w:rPr>
          <w:rFonts w:ascii="Arial" w:cs="Arial" w:eastAsia="Arial" w:hAnsi="Arial"/>
          <w:sz w:val="22"/>
          <w:szCs w:val="22"/>
        </w:rPr>
        <w:t xml:space="preserve">The auto_extract_tasks action automatically runs the task extraction pipeline on the triggering brief. This is typically paired with the brief_approved trigger to create a workflow where approving a brief automatically generates development tasks. The action payload can include a maxTasks parameter that limits the number of tasks extracted, preventing the system from generating an overwhelming number of work items from a single brief. The default configuration extracts up to fifteen tasks, which represents a reasonable scope for a single development cycle.</w:t>
      </w:r>
    </w:p>
    <w:p>
      <w:pPr>
        <w:spacing w:after="60" w:before="60"/>
      </w:pPr>
    </w:p>
    <w:p>
      <w:pPr>
        <w:spacing w:after="60" w:before="60"/>
      </w:pPr>
      <w:r>
        <w:rPr>
          <w:rFonts w:ascii="Arial" w:cs="Arial" w:eastAsia="Arial" w:hAnsi="Arial"/>
          <w:sz w:val="22"/>
          <w:szCs w:val="22"/>
        </w:rPr>
        <w:t xml:space="preserve">The notify_admin action sends a notification to one or more administrator users. The action payload can specify the target admin user ID, the notification title, and the notification body. This action is useful for keeping administrators informed about pipeline events without requiring them to constantly check the NEXUS interface. For example, a rule might notify an administrator when research completes on a brief they created, or when a sprint is generated from their approved tasks.</w:t>
      </w:r>
    </w:p>
    <w:p>
      <w:pPr>
        <w:spacing w:after="60" w:before="60"/>
      </w:pPr>
    </w:p>
    <w:p>
      <w:pPr>
        <w:spacing w:after="60" w:before="60"/>
      </w:pPr>
      <w:r>
        <w:rPr>
          <w:rFonts w:ascii="Arial" w:cs="Arial" w:eastAsia="Arial" w:hAnsi="Arial"/>
          <w:sz w:val="22"/>
          <w:szCs w:val="22"/>
        </w:rPr>
        <w:t xml:space="preserve">The auto_create_sprint action automatically generates a sprint from the most recently extracted tasks. This action is typically paired with the task_created trigger, creating an end-to-end automation flow where approving a brief leads to task extraction, which leads to sprint creation, all without manual intervention. The action payload can include configuration parameters such as the sprint name template, the target start date, and the estimated duration.</w:t>
      </w:r>
    </w:p>
    <w:p>
      <w:pPr>
        <w:spacing w:after="60" w:before="60"/>
      </w:pPr>
    </w:p>
    <w:p>
      <w:pPr>
        <w:spacing w:after="60" w:before="60"/>
      </w:pPr>
      <w:r>
        <w:rPr>
          <w:rFonts w:ascii="Arial" w:cs="Arial" w:eastAsia="Arial" w:hAnsi="Arial"/>
          <w:sz w:val="22"/>
          <w:szCs w:val="22"/>
        </w:rPr>
        <w:t xml:space="preserve">The webhook action calls an external HTTP endpoint when the rule fires. This is the most flexible action type because it allows NEXUS to integrate with any external system that exposes a webhook receiver. The action payload specifies the target URL, and the system sends a POST request with a JSON body containing the event details. This action type is specifically designed for integration with N8N, Slack, Microsoft Teams, Jira, Linear, and any other tool that supports incoming webhooks. The webhook action enables a wide range of external integrations without requiring changes to the NEXUS codebase.</w:t>
      </w:r>
    </w:p>
    <w:p>
      <w:pPr>
        <w:spacing w:after="60" w:before="60"/>
      </w:pPr>
    </w:p>
    <w:p>
      <w:pPr>
        <w:spacing w:after="60" w:before="60"/>
      </w:pPr>
      <w:r>
        <w:rPr>
          <w:rFonts w:ascii="Arial" w:cs="Arial" w:eastAsia="Arial" w:hAnsi="Arial"/>
          <w:sz w:val="22"/>
          <w:szCs w:val="22"/>
        </w:rPr>
        <w:t xml:space="preserve">The audit_log action records the event in the system's audit trail. This is a passive action that does not trigger any external system or modify any data, but it creates a permanent record of the event for compliance, debugging, and operational visibility purposes. In a healthcare SaaS context where regulatory compliance is a concern, audit logging of automated actions is not just nice to have; it is an operational requirement.</w:t>
      </w:r>
    </w:p>
    <w:p>
      <w:pPr>
        <w:spacing w:after="60" w:before="60"/>
      </w:pPr>
    </w:p>
    <w:p>
      <w:pPr>
        <w:pStyle w:val="Heading3"/>
        <w:spacing w:after="120" w:before="240"/>
      </w:pPr>
      <w:r>
        <w:rPr>
          <w:rFonts w:ascii="Arial" w:cs="Arial" w:eastAsia="Arial" w:hAnsi="Arial"/>
          <w:b/>
          <w:bCs/>
          <w:sz w:val="26"/>
          <w:szCs w:val="26"/>
        </w:rPr>
        <w:t xml:space="preserve">Rule Structure and Configuration</w:t>
      </w:r>
    </w:p>
    <w:p>
      <w:pPr>
        <w:spacing w:after="60" w:before="60"/>
      </w:pPr>
    </w:p>
    <w:p>
      <w:pPr>
        <w:spacing w:after="60" w:before="60"/>
      </w:pPr>
      <w:r>
        <w:rPr>
          <w:rFonts w:ascii="Arial" w:cs="Arial" w:eastAsia="Arial" w:hAnsi="Arial"/>
          <w:sz w:val="22"/>
          <w:szCs w:val="22"/>
        </w:rPr>
        <w:t xml:space="preserve">A complete rule definition includes all the fields described above, and the combination of these fields allows for sophisticated automation workflows. Consider the default rule that is typically configured in a new NEXUS installation: when a brief is approved, automatically extract up to fifteen tasks. This rule would have the name "Auto-extract tasks on approval," the trigger_type "brief_approved," a condition_json that matches all approved briefs (or potentially filters by template or department configuration), the action_type "auto_extract_tasks," and an action_payload containing the maxTasks value of fifteen. The priority might be set to fifty, placing it in the middle of the priority range to allow higher-priority rules to execute first and lower-priority rules to execute afterward.</w:t>
      </w:r>
    </w:p>
    <w:p>
      <w:pPr>
        <w:spacing w:after="60" w:before="60"/>
      </w:pPr>
    </w:p>
    <w:p>
      <w:pPr>
        <w:spacing w:after="60" w:before="60"/>
      </w:pPr>
      <w:r>
        <w:rPr>
          <w:rFonts w:ascii="Arial" w:cs="Arial" w:eastAsia="Arial" w:hAnsi="Arial"/>
          <w:sz w:val="22"/>
          <w:szCs w:val="22"/>
        </w:rPr>
        <w:t xml:space="preserve">Rules can also be chained to create multi-step workflows. For example, one rule might extract tasks when a brief is approved (trigger: brief_approved, action: auto_extract_tasks), and a second rule might create a sprint when tasks are created (trigger: task_created, action: auto_create_sprint). A third rule might send a webhook notification when the sprint is created (trigger: sprint_created, action: webhook). This chain creates a fully automated pipeline from brief approval to sprint readiness, with the administrator only needing to review and approve the initial brief.</w:t>
      </w:r>
    </w:p>
    <w:p>
      <w:pPr>
        <w:spacing w:after="60" w:before="60"/>
      </w:pPr>
    </w:p>
    <w:p>
      <w:pPr>
        <w:pStyle w:val="Heading3"/>
        <w:spacing w:after="120" w:before="240"/>
      </w:pPr>
      <w:r>
        <w:rPr>
          <w:rFonts w:ascii="Arial" w:cs="Arial" w:eastAsia="Arial" w:hAnsi="Arial"/>
          <w:b/>
          <w:bCs/>
          <w:sz w:val="26"/>
          <w:szCs w:val="26"/>
        </w:rPr>
        <w:t xml:space="preserve">CRUD Endpoints for Rules Management</w:t>
      </w:r>
    </w:p>
    <w:p>
      <w:pPr>
        <w:spacing w:after="60" w:before="60"/>
      </w:pPr>
    </w:p>
    <w:p>
      <w:pPr>
        <w:spacing w:after="60" w:before="60"/>
      </w:pPr>
      <w:r>
        <w:rPr>
          <w:rFonts w:ascii="Arial" w:cs="Arial" w:eastAsia="Arial" w:hAnsi="Arial"/>
          <w:sz w:val="22"/>
          <w:szCs w:val="22"/>
        </w:rPr>
        <w:t xml:space="preserve">The nexusSettingsRoutes module exposes a complete set of REST API endpoints for managing automation rules. These endpoints follow standard REST conventions and are all protected by admin authentication.</w:t>
      </w:r>
    </w:p>
    <w:p>
      <w:pPr>
        <w:spacing w:after="60" w:before="60"/>
      </w:pPr>
    </w:p>
    <w:p>
      <w:pPr>
        <w:spacing w:after="60" w:before="60"/>
      </w:pPr>
      <w:r>
        <w:rPr>
          <w:rFonts w:ascii="Arial" w:cs="Arial" w:eastAsia="Arial" w:hAnsi="Arial"/>
          <w:sz w:val="22"/>
          <w:szCs w:val="22"/>
        </w:rPr>
        <w:t xml:space="preserve">The GET endpoint at /nexus/rules retrieves all rules from the database, ordered by priority in descending order and then by creation date. This ordering ensures that when the admin interface displays rules, the highest-priority rules appear first, giving administrators an immediate understanding of which rules will take precedence.</w:t>
      </w:r>
    </w:p>
    <w:p>
      <w:pPr>
        <w:spacing w:after="60" w:before="60"/>
      </w:pPr>
    </w:p>
    <w:p>
      <w:pPr>
        <w:spacing w:after="60" w:before="60"/>
      </w:pPr>
      <w:r>
        <w:rPr>
          <w:rFonts w:ascii="Arial" w:cs="Arial" w:eastAsia="Arial" w:hAnsi="Arial"/>
          <w:sz w:val="22"/>
          <w:szCs w:val="22"/>
        </w:rPr>
        <w:t xml:space="preserve">The POST endpoint at /nexus/rules creates a new rule. The request body must include the name, triggerType, conditionJson, and actionType fields. The description, actionPayload, and priority fields are optional, with priority defaulting to zero. The endpoint validates that all required fields are present before inserting the rule into the database and returns the created rule with its generated ID.</w:t>
      </w:r>
    </w:p>
    <w:p>
      <w:pPr>
        <w:spacing w:after="60" w:before="60"/>
      </w:pPr>
    </w:p>
    <w:p>
      <w:pPr>
        <w:spacing w:after="60" w:before="60"/>
      </w:pPr>
      <w:r>
        <w:rPr>
          <w:rFonts w:ascii="Arial" w:cs="Arial" w:eastAsia="Arial" w:hAnsi="Arial"/>
          <w:sz w:val="22"/>
          <w:szCs w:val="22"/>
        </w:rPr>
        <w:t xml:space="preserve">The PATCH endpoint at /nexus/rules/:id updates an existing rule. This endpoint uses COALESCE-based SQL to support partial updates, meaning that only the fields included in the request body will be modified. This approach allows administrators to update a single field (such as toggling isActive) without needing to resend the entire rule definition.</w:t>
      </w:r>
    </w:p>
    <w:p>
      <w:pPr>
        <w:spacing w:after="60" w:before="60"/>
      </w:pPr>
    </w:p>
    <w:p>
      <w:pPr>
        <w:spacing w:after="60" w:before="60"/>
      </w:pPr>
      <w:r>
        <w:rPr>
          <w:rFonts w:ascii="Arial" w:cs="Arial" w:eastAsia="Arial" w:hAnsi="Arial"/>
          <w:sz w:val="22"/>
          <w:szCs w:val="22"/>
        </w:rPr>
        <w:t xml:space="preserve">The DELETE endpoint at /nexus/rules/:id permanently removes a rule from the database. This action is irreversible, so the admin interface should ideally confirm the deletion before calling this endpoint.</w:t>
      </w:r>
    </w:p>
    <w:p>
      <w:pPr>
        <w:spacing w:after="60" w:before="60"/>
      </w:pPr>
    </w:p>
    <w:p>
      <w:pPr>
        <w:pStyle w:val="Heading3"/>
        <w:spacing w:after="120" w:before="240"/>
      </w:pPr>
      <w:r>
        <w:rPr>
          <w:rFonts w:ascii="Arial" w:cs="Arial" w:eastAsia="Arial" w:hAnsi="Arial"/>
          <w:b/>
          <w:bCs/>
          <w:sz w:val="26"/>
          <w:szCs w:val="26"/>
        </w:rPr>
        <w:t xml:space="preserve">Current Implementation Status</w:t>
      </w:r>
    </w:p>
    <w:p>
      <w:pPr>
        <w:spacing w:after="60" w:before="60"/>
      </w:pPr>
    </w:p>
    <w:p>
      <w:pPr>
        <w:spacing w:after="60" w:before="60"/>
      </w:pPr>
      <w:r>
        <w:rPr>
          <w:rFonts w:ascii="Arial" w:cs="Arial" w:eastAsia="Arial" w:hAnsi="Arial"/>
          <w:sz w:val="22"/>
          <w:szCs w:val="22"/>
        </w:rPr>
        <w:t xml:space="preserve">The automation rules engine exists in a state that might be described as architecturally complete but operationally partial. The database schema is defined and the rules table exists. The CRUD endpoints are fully functional and the admin interface can create, read, update, and delete rules. The rule structure supports all five trigger types and all five action types.</w:t>
      </w:r>
    </w:p>
    <w:p>
      <w:pPr>
        <w:spacing w:after="60" w:before="60"/>
      </w:pPr>
    </w:p>
    <w:p>
      <w:pPr>
        <w:spacing w:after="60" w:before="60"/>
      </w:pPr>
      <w:r>
        <w:rPr>
          <w:rFonts w:ascii="Arial" w:cs="Arial" w:eastAsia="Arial" w:hAnsi="Arial"/>
          <w:sz w:val="22"/>
          <w:szCs w:val="22"/>
        </w:rPr>
        <w:t xml:space="preserve">What is not fully wired is the execution side: the trigger handlers that detect NEXUS events and evaluate matching rules against them. The brief orchestrator does not currently call into a rules evaluation engine when the brief status changes. The task extraction process does not currently fire trigger events that the rules engine can listen to. This means that while rules can be defined and stored, they may not all execute automatically in response to pipeline events. The infrastructure for automatic execution needs to be connected by implementing event emission at each pipeline step and a rules evaluation function that queries matching rules and dispatches their actions.</w:t>
      </w:r>
    </w:p>
    <w:p>
      <w:pPr>
        <w:spacing w:after="60" w:before="60"/>
      </w:pPr>
    </w:p>
    <w:p>
      <w:pPr>
        <w:pBdr>
          <w:bottom w:val="single" w:color="CCCCCC" w:sz="3" w:space="1"/>
        </w:pBdr>
        <w:spacing w:after="120" w:before="120"/>
      </w:pPr>
    </w:p>
    <w:p>
      <w:pPr>
        <w:spacing w:after="60" w:before="60"/>
      </w:pPr>
    </w:p>
    <w:p>
      <w:pPr>
        <w:pStyle w:val="Heading2"/>
        <w:spacing w:after="160" w:before="300"/>
      </w:pPr>
      <w:r>
        <w:rPr>
          <w:rFonts w:ascii="Arial" w:cs="Arial" w:eastAsia="Arial" w:hAnsi="Arial"/>
          <w:b/>
          <w:bCs/>
          <w:sz w:val="30"/>
          <w:szCs w:val="30"/>
        </w:rPr>
        <w:t xml:space="preserve">Part 2: N8N Integration — External Workflow Automation</w:t>
      </w:r>
    </w:p>
    <w:p>
      <w:pPr>
        <w:spacing w:after="60" w:before="60"/>
      </w:pPr>
    </w:p>
    <w:p>
      <w:pPr>
        <w:pStyle w:val="Heading3"/>
        <w:spacing w:after="120" w:before="240"/>
      </w:pPr>
      <w:r>
        <w:rPr>
          <w:rFonts w:ascii="Arial" w:cs="Arial" w:eastAsia="Arial" w:hAnsi="Arial"/>
          <w:b/>
          <w:bCs/>
          <w:sz w:val="26"/>
          <w:szCs w:val="26"/>
        </w:rPr>
        <w:t xml:space="preserve">What N8N Is and Why It Is Used</w:t>
      </w:r>
    </w:p>
    <w:p>
      <w:pPr>
        <w:spacing w:after="60" w:before="60"/>
      </w:pPr>
    </w:p>
    <w:p>
      <w:pPr>
        <w:spacing w:after="60" w:before="60"/>
      </w:pPr>
      <w:r>
        <w:rPr>
          <w:rFonts w:ascii="Arial" w:cs="Arial" w:eastAsia="Arial" w:hAnsi="Arial"/>
          <w:sz w:val="22"/>
          <w:szCs w:val="22"/>
        </w:rPr>
        <w:t xml:space="preserve">N8N is an open-source, self-hosted workflow automation platform that allows users to create complex multi-step integrations between different services using a visual node-based editor. Think of it as a self-hosted alternative to Zapier or Make (formerly Integromat), with the significant advantage that all data stays under your control because the platform runs on your own infrastructure. N8N supports hundreds of integrations out of the box, including GitHub, Reddit, YouTube, Slack, databases, email providers, and countless other services.</w:t>
      </w:r>
    </w:p>
    <w:p>
      <w:pPr>
        <w:spacing w:after="60" w:before="60"/>
      </w:pPr>
    </w:p>
    <w:p>
      <w:pPr>
        <w:spacing w:after="60" w:before="60"/>
      </w:pPr>
      <w:r>
        <w:rPr>
          <w:rFonts w:ascii="Arial" w:cs="Arial" w:eastAsia="Arial" w:hAnsi="Arial"/>
          <w:sz w:val="22"/>
          <w:szCs w:val="22"/>
        </w:rPr>
        <w:t xml:space="preserve">In the context of NEXUS, N8N serves as an external research amplifier. While NEXUS has its own built-in web intelligence capabilities (primarily through the Perplexity API), N8N can extend this research with more specialized and deeper investigations. A properly configured N8N workflow can scrape GitHub repositories for relevant open-source projects, mine Reddit communities for user sentiment and feature discussions, search YouTube for relevant tutorials and demonstrations, and conduct competitive analysis across multiple data sources simultaneously. These are tasks that benefit from N8N's visual workflow builder because they often involve complex conditional logic, data transformation, and multi-step processing that would be cumbersome to implement directly in the NEXUS codebase.</w:t>
      </w:r>
    </w:p>
    <w:p>
      <w:pPr>
        <w:spacing w:after="60" w:before="60"/>
      </w:pPr>
    </w:p>
    <w:p>
      <w:pPr>
        <w:pStyle w:val="Heading3"/>
        <w:spacing w:after="120" w:before="240"/>
      </w:pPr>
      <w:r>
        <w:rPr>
          <w:rFonts w:ascii="Arial" w:cs="Arial" w:eastAsia="Arial" w:hAnsi="Arial"/>
          <w:b/>
          <w:bCs/>
          <w:sz w:val="26"/>
          <w:szCs w:val="26"/>
        </w:rPr>
        <w:t xml:space="preserve">The N8N Bridge Code</w:t>
      </w:r>
    </w:p>
    <w:p>
      <w:pPr>
        <w:spacing w:after="60" w:before="60"/>
      </w:pPr>
    </w:p>
    <w:p>
      <w:pPr>
        <w:spacing w:after="60" w:before="60"/>
      </w:pPr>
      <w:r>
        <w:rPr>
          <w:rFonts w:ascii="Arial" w:cs="Arial" w:eastAsia="Arial" w:hAnsi="Arial"/>
          <w:sz w:val="22"/>
          <w:szCs w:val="22"/>
        </w:rPr>
        <w:t xml:space="preserve">The integration between NEXUS and N8N is handled by the n8nBridge.ts module, which contains approximately 235 lines of TypeScript code. This module implements two communication patterns: a trigger pattern where NEXUS sends requests to N8N and waits for a response, and a callback pattern where N8N can asynchronously push results back to NEXUS via a callback URL.</w:t>
      </w:r>
    </w:p>
    <w:p>
      <w:pPr>
        <w:spacing w:after="60" w:before="60"/>
      </w:pPr>
    </w:p>
    <w:p>
      <w:pPr>
        <w:spacing w:after="60" w:before="60"/>
      </w:pPr>
      <w:r>
        <w:rPr>
          <w:rFonts w:ascii="Arial" w:cs="Arial" w:eastAsia="Arial" w:hAnsi="Arial"/>
          <w:sz w:val="22"/>
          <w:szCs w:val="22"/>
        </w:rPr>
        <w:t xml:space="preserve">The bridge defines five workflow types as a TypeScript union type called N8NWorkflowType. The four primary research workflow types are github_research for deep GitHub repository investigation, reddit_research for Reddit community analysis, youtube_research for YouTube content discovery, and competitive_analysis for competitor research across multiple sources. There is also a fifth workflow type called full_research that triggers all four research types simultaneously.</w:t>
      </w:r>
    </w:p>
    <w:p>
      <w:pPr>
        <w:spacing w:after="60" w:before="60"/>
      </w:pPr>
    </w:p>
    <w:p>
      <w:pPr>
        <w:pStyle w:val="Heading3"/>
        <w:spacing w:after="120" w:before="240"/>
      </w:pPr>
      <w:r>
        <w:rPr>
          <w:rFonts w:ascii="Arial" w:cs="Arial" w:eastAsia="Arial" w:hAnsi="Arial"/>
          <w:b/>
          <w:bCs/>
          <w:sz w:val="26"/>
          <w:szCs w:val="26"/>
        </w:rPr>
        <w:t xml:space="preserve">Environment Variables for N8N Configuration</w:t>
      </w:r>
    </w:p>
    <w:p>
      <w:pPr>
        <w:spacing w:after="60" w:before="60"/>
      </w:pPr>
    </w:p>
    <w:p>
      <w:pPr>
        <w:spacing w:after="60" w:before="60"/>
      </w:pPr>
      <w:r>
        <w:rPr>
          <w:rFonts w:ascii="Arial" w:cs="Arial" w:eastAsia="Arial" w:hAnsi="Arial"/>
          <w:sz w:val="22"/>
          <w:szCs w:val="22"/>
        </w:rPr>
        <w:t xml:space="preserve">Three environment variables control the N8N integration. The N8N_WEBHOOK_BASE_URL variable specifies the base URL of the N8N webhook receiver, typically something like "http://localhost:5678/webhook" for a local N8N instance or a public URL for a production deployment. The N8N_API_KEY variable provides an optional authentication token that is sent as a Bearer token in the Authorization header of webhook requests, securing the communication channel between NEXUS and N8N. The N8N_TIMEOUT_MS variable sets the maximum time in milliseconds that NEXUS will wait for a response from N8N before falling back to direct API calls, with a default value of 60000 milliseconds (one minute).</w:t>
      </w:r>
    </w:p>
    <w:p>
      <w:pPr>
        <w:spacing w:after="60" w:before="60"/>
      </w:pPr>
    </w:p>
    <w:p>
      <w:pPr>
        <w:spacing w:after="60" w:before="60"/>
      </w:pPr>
      <w:r>
        <w:rPr>
          <w:rFonts w:ascii="Arial" w:cs="Arial" w:eastAsia="Arial" w:hAnsi="Arial"/>
          <w:sz w:val="22"/>
          <w:szCs w:val="22"/>
        </w:rPr>
        <w:t xml:space="preserve">The getN8NConfig function in the bridge module reads these environment variables and constructs a configuration object. The isConfigured flag is true whenever the N8N_WEBHOOK_BASE_URL is set, regardless of whether the API key is provided. This means that N8N can be used without authentication in development environments, though production deployments should always configure the API key.</w:t>
      </w:r>
    </w:p>
    <w:p>
      <w:pPr>
        <w:spacing w:after="60" w:before="60"/>
      </w:pPr>
    </w:p>
    <w:p>
      <w:pPr>
        <w:pStyle w:val="Heading3"/>
        <w:spacing w:after="120" w:before="240"/>
      </w:pPr>
      <w:r>
        <w:rPr>
          <w:rFonts w:ascii="Arial" w:cs="Arial" w:eastAsia="Arial" w:hAnsi="Arial"/>
          <w:b/>
          <w:bCs/>
          <w:sz w:val="26"/>
          <w:szCs w:val="26"/>
        </w:rPr>
        <w:t xml:space="preserve">The Four Research Workflow Types</w:t>
      </w:r>
    </w:p>
    <w:p>
      <w:pPr>
        <w:spacing w:after="60" w:before="60"/>
      </w:pPr>
    </w:p>
    <w:p>
      <w:pPr>
        <w:spacing w:after="60" w:before="60"/>
      </w:pPr>
      <w:r>
        <w:rPr>
          <w:rFonts w:ascii="Arial" w:cs="Arial" w:eastAsia="Arial" w:hAnsi="Arial"/>
          <w:sz w:val="22"/>
          <w:szCs w:val="22"/>
        </w:rPr>
        <w:t xml:space="preserve">Each workflow type corresponds to a specific research domain and is expected to produce WebSource objects that NEXUS can integrate into its research pipeline.</w:t>
      </w:r>
    </w:p>
    <w:p>
      <w:pPr>
        <w:spacing w:after="60" w:before="60"/>
      </w:pPr>
    </w:p>
    <w:p>
      <w:pPr>
        <w:spacing w:after="60" w:before="60"/>
      </w:pPr>
      <w:r>
        <w:rPr>
          <w:rFonts w:ascii="Arial" w:cs="Arial" w:eastAsia="Arial" w:hAnsi="Arial"/>
          <w:sz w:val="22"/>
          <w:szCs w:val="22"/>
        </w:rPr>
        <w:t xml:space="preserve">The github_research workflow is designed to find relevant open-source projects, libraries, and code examples on GitHub. A properly configured N8N workflow for this type would search GitHub's API for repositories matching the brief's idea prompt, analyze repository metadata such as star counts, contributor counts, last update dates, and license types, and return the most relevant results as WebSource objects with trustScore values based on the repository's popularity and maintenance status.</w:t>
      </w:r>
    </w:p>
    <w:p>
      <w:pPr>
        <w:spacing w:after="60" w:before="60"/>
      </w:pPr>
    </w:p>
    <w:p>
      <w:pPr>
        <w:spacing w:after="60" w:before="60"/>
      </w:pPr>
      <w:r>
        <w:rPr>
          <w:rFonts w:ascii="Arial" w:cs="Arial" w:eastAsia="Arial" w:hAnsi="Arial"/>
          <w:sz w:val="22"/>
          <w:szCs w:val="22"/>
        </w:rPr>
        <w:t xml:space="preserve">The reddit_research workflow mines Reddit for user discussions, feature requests, complaints, and sentiment analysis related to the brief's topic. Reddit is a particularly valuable source for healthcare technology research because subreddits dedicated to caregiving, dementia, and elder care often contain candid discussions about the challenges families face and the tools they have tried. An N8N workflow for this type would search relevant subreddits, filter by relevance and engagement scores, and extract the most informative discussions.</w:t>
      </w:r>
    </w:p>
    <w:p>
      <w:pPr>
        <w:spacing w:after="60" w:before="60"/>
      </w:pPr>
    </w:p>
    <w:p>
      <w:pPr>
        <w:spacing w:after="60" w:before="60"/>
      </w:pPr>
      <w:r>
        <w:rPr>
          <w:rFonts w:ascii="Arial" w:cs="Arial" w:eastAsia="Arial" w:hAnsi="Arial"/>
          <w:sz w:val="22"/>
          <w:szCs w:val="22"/>
        </w:rPr>
        <w:t xml:space="preserve">The youtube_research workflow searches YouTube for relevant tutorials, product demonstrations, conference talks, and educational content. For a healthcare SaaS platform, this might include demos of competing products, talks about caregiving technology, or tutorials about relevant technical implementations. The N8N workflow would use YouTube's API to search, filter, and rank results.</w:t>
      </w:r>
    </w:p>
    <w:p>
      <w:pPr>
        <w:spacing w:after="60" w:before="60"/>
      </w:pPr>
    </w:p>
    <w:p>
      <w:pPr>
        <w:spacing w:after="60" w:before="60"/>
      </w:pPr>
      <w:r>
        <w:rPr>
          <w:rFonts w:ascii="Arial" w:cs="Arial" w:eastAsia="Arial" w:hAnsi="Arial"/>
          <w:sz w:val="22"/>
          <w:szCs w:val="22"/>
        </w:rPr>
        <w:t xml:space="preserve">The competitive_analysis workflow conducts broader competitive research across multiple sources. This might include scraping competitor websites, analyzing their pricing pages, reviewing their feature sets, checking their job postings for technology hints, and aggregating reviews from sites like G2 and Capterra. This is the most complex workflow type because it typically requires multiple N8N nodes working in sequence and parallel.</w:t>
      </w:r>
    </w:p>
    <w:p>
      <w:pPr>
        <w:spacing w:after="60" w:before="60"/>
      </w:pPr>
    </w:p>
    <w:p>
      <w:pPr>
        <w:pStyle w:val="Heading3"/>
        <w:spacing w:after="120" w:before="240"/>
      </w:pPr>
      <w:r>
        <w:rPr>
          <w:rFonts w:ascii="Arial" w:cs="Arial" w:eastAsia="Arial" w:hAnsi="Arial"/>
          <w:b/>
          <w:bCs/>
          <w:sz w:val="26"/>
          <w:szCs w:val="26"/>
        </w:rPr>
        <w:t xml:space="preserve">How the Bridge Works in Practice</w:t>
      </w:r>
    </w:p>
    <w:p>
      <w:pPr>
        <w:spacing w:after="60" w:before="60"/>
      </w:pPr>
    </w:p>
    <w:p>
      <w:pPr>
        <w:spacing w:after="60" w:before="60"/>
      </w:pPr>
      <w:r>
        <w:rPr>
          <w:rFonts w:ascii="Arial" w:cs="Arial" w:eastAsia="Arial" w:hAnsi="Arial"/>
          <w:sz w:val="22"/>
          <w:szCs w:val="22"/>
        </w:rPr>
        <w:t xml:space="preserve">When the NEXUS orchestrator reaches the web intelligence gathering step of the research pipeline, it calls the gatherWebIntelligenceHybrid function from the bridge module. This function first checks whether N8N is configured by calling isN8NConfigured, which simply checks whether the N8N_WEBHOOK_BASE_URL environment variable is set.</w:t>
      </w:r>
    </w:p>
    <w:p>
      <w:pPr>
        <w:spacing w:after="60" w:before="60"/>
      </w:pPr>
    </w:p>
    <w:p>
      <w:pPr>
        <w:spacing w:after="60" w:before="60"/>
      </w:pPr>
      <w:r>
        <w:rPr>
          <w:rFonts w:ascii="Arial" w:cs="Arial" w:eastAsia="Arial" w:hAnsi="Arial"/>
          <w:sz w:val="22"/>
          <w:szCs w:val="22"/>
        </w:rPr>
        <w:t xml:space="preserve">If N8N is configured, the function constructs a webhook URL by appending "/full_research" to the base URL and sends a POST request with the brief ID, idea prompt, and department list as the request body. If an API key is configured, it is included in the Authorization header as a Bearer token. The request is sent with an AbortController that enforces the configured timeout.</w:t>
      </w:r>
    </w:p>
    <w:p>
      <w:pPr>
        <w:spacing w:after="60" w:before="60"/>
      </w:pPr>
    </w:p>
    <w:p>
      <w:pPr>
        <w:spacing w:after="60" w:before="60"/>
      </w:pPr>
      <w:r>
        <w:rPr>
          <w:rFonts w:ascii="Arial" w:cs="Arial" w:eastAsia="Arial" w:hAnsi="Arial"/>
          <w:sz w:val="22"/>
          <w:szCs w:val="22"/>
        </w:rPr>
        <w:t xml:space="preserve">If the N8N request succeeds and returns usable sources (meaning the response contains a non-empty sources array), the bridge processes the results through the processN8NResults function. This function validates and normalizes each source, ensuring that required fields like title and URL are present, clamping trust scores to the valid range of zero to one hundred, and adding metadata indicating that the source came from N8N.</w:t>
      </w:r>
    </w:p>
    <w:p>
      <w:pPr>
        <w:spacing w:after="60" w:before="60"/>
      </w:pPr>
    </w:p>
    <w:p>
      <w:pPr>
        <w:spacing w:after="60" w:before="60"/>
      </w:pPr>
      <w:r>
        <w:rPr>
          <w:rFonts w:ascii="Arial" w:cs="Arial" w:eastAsia="Arial" w:hAnsi="Arial"/>
          <w:sz w:val="22"/>
          <w:szCs w:val="22"/>
        </w:rPr>
        <w:t xml:space="preserve">If the N8N request fails for any reason — timeout, network error, invalid response, empty results — the bridge falls back to the direct web intelligence gathering function. This fallback is passed as a callback parameter, which in the orchestrator is the gatherWebIntelligence function that uses Perplexity and other direct API calls. The SSE stream reports which source was used (N8N or direct) so that the admin interface can display this information.</w:t>
      </w:r>
    </w:p>
    <w:p>
      <w:pPr>
        <w:spacing w:after="60" w:before="60"/>
      </w:pPr>
    </w:p>
    <w:p>
      <w:pPr>
        <w:pStyle w:val="Heading3"/>
        <w:spacing w:after="120" w:before="240"/>
      </w:pPr>
      <w:r>
        <w:rPr>
          <w:rFonts w:ascii="Arial" w:cs="Arial" w:eastAsia="Arial" w:hAnsi="Arial"/>
          <w:b/>
          <w:bCs/>
          <w:sz w:val="26"/>
          <w:szCs w:val="26"/>
        </w:rPr>
        <w:t xml:space="preserve">Triggering Individual and Full Research Workflows</w:t>
      </w:r>
    </w:p>
    <w:p>
      <w:pPr>
        <w:spacing w:after="60" w:before="60"/>
      </w:pPr>
    </w:p>
    <w:p>
      <w:pPr>
        <w:spacing w:after="60" w:before="60"/>
      </w:pPr>
      <w:r>
        <w:rPr>
          <w:rFonts w:ascii="Arial" w:cs="Arial" w:eastAsia="Arial" w:hAnsi="Arial"/>
          <w:sz w:val="22"/>
          <w:szCs w:val="22"/>
        </w:rPr>
        <w:t xml:space="preserve">The bridge module provides two functions for triggering N8N workflows. The triggerN8NWorkflow function triggers a single workflow type and returns an object indicating whether the trigger was successful, along with any execution ID returned by N8N or an error message if the trigger failed.</w:t>
      </w:r>
    </w:p>
    <w:p>
      <w:pPr>
        <w:spacing w:after="60" w:before="60"/>
      </w:pPr>
    </w:p>
    <w:p>
      <w:pPr>
        <w:spacing w:after="60" w:before="60"/>
      </w:pPr>
      <w:r>
        <w:rPr>
          <w:rFonts w:ascii="Arial" w:cs="Arial" w:eastAsia="Arial" w:hAnsi="Arial"/>
          <w:sz w:val="22"/>
          <w:szCs w:val="22"/>
        </w:rPr>
        <w:t xml:space="preserve">The triggerFullN8NResearch function triggers all four research workflow types in parallel using Promise.allSettled. This ensures that failures in individual workflows do not prevent other workflows from completing. The function collects the results and returns an object listing which workflows were successfully triggered, which failed, and the error messages for the failures. This parallel execution is important for performance because the four research types are independent and can run simultaneously.</w:t>
      </w:r>
    </w:p>
    <w:p>
      <w:pPr>
        <w:spacing w:after="60" w:before="60"/>
      </w:pPr>
    </w:p>
    <w:p>
      <w:pPr>
        <w:pStyle w:val="Heading3"/>
        <w:spacing w:after="120" w:before="240"/>
      </w:pPr>
      <w:r>
        <w:rPr>
          <w:rFonts w:ascii="Arial" w:cs="Arial" w:eastAsia="Arial" w:hAnsi="Arial"/>
          <w:b/>
          <w:bCs/>
          <w:sz w:val="26"/>
          <w:szCs w:val="26"/>
        </w:rPr>
        <w:t xml:space="preserve">Callback and Synchronous Communication Patterns</w:t>
      </w:r>
    </w:p>
    <w:p>
      <w:pPr>
        <w:spacing w:after="60" w:before="60"/>
      </w:pPr>
    </w:p>
    <w:p>
      <w:pPr>
        <w:spacing w:after="60" w:before="60"/>
      </w:pPr>
      <w:r>
        <w:rPr>
          <w:rFonts w:ascii="Arial" w:cs="Arial" w:eastAsia="Arial" w:hAnsi="Arial"/>
          <w:sz w:val="22"/>
          <w:szCs w:val="22"/>
        </w:rPr>
        <w:t xml:space="preserve">The bridge supports both synchronous and asynchronous communication with N8N. In the synchronous pattern, which is currently used in the main orchestrator flow, NEXUS sends a webhook request and waits for the response. This is simpler to implement and reason about but has the disadvantage that the entire NEXUS pipeline blocks while waiting for N8N to complete its work.</w:t>
      </w:r>
    </w:p>
    <w:p>
      <w:pPr>
        <w:spacing w:after="60" w:before="60"/>
      </w:pPr>
    </w:p>
    <w:p>
      <w:pPr>
        <w:spacing w:after="60" w:before="60"/>
      </w:pPr>
      <w:r>
        <w:rPr>
          <w:rFonts w:ascii="Arial" w:cs="Arial" w:eastAsia="Arial" w:hAnsi="Arial"/>
          <w:sz w:val="22"/>
          <w:szCs w:val="22"/>
        </w:rPr>
        <w:t xml:space="preserve">The asynchronous callback pattern is also supported: when triggering a workflow, NEXUS includes a callbackUrl in the payload that points back to the NEXUS API endpoint for receiving N8N results. This allows N8N to process the request asynchronously and push results back when they are ready. The callback URL follows the pattern "/api/admin/nexus/briefs/:briefId/n8n-callback", which routes through the nexusAdminRoutes module.</w:t>
      </w:r>
    </w:p>
    <w:p>
      <w:pPr>
        <w:spacing w:after="60" w:before="60"/>
      </w:pPr>
    </w:p>
    <w:p>
      <w:pPr>
        <w:pStyle w:val="Heading3"/>
        <w:spacing w:after="120" w:before="240"/>
      </w:pPr>
      <w:r>
        <w:rPr>
          <w:rFonts w:ascii="Arial" w:cs="Arial" w:eastAsia="Arial" w:hAnsi="Arial"/>
          <w:b/>
          <w:bCs/>
          <w:sz w:val="26"/>
          <w:szCs w:val="26"/>
        </w:rPr>
        <w:t xml:space="preserve">What Is Built and What Needs Work</w:t>
      </w:r>
    </w:p>
    <w:p>
      <w:pPr>
        <w:spacing w:after="60" w:before="60"/>
      </w:pPr>
    </w:p>
    <w:p>
      <w:pPr>
        <w:spacing w:after="60" w:before="60"/>
      </w:pPr>
      <w:r>
        <w:rPr>
          <w:rFonts w:ascii="Arial" w:cs="Arial" w:eastAsia="Arial" w:hAnsi="Arial"/>
          <w:sz w:val="22"/>
          <w:szCs w:val="22"/>
        </w:rPr>
        <w:t xml:space="preserve">The N8N bridge code is fully implemented and functional. The webhook trigger mechanism works, the fallback logic works, the timeout handling works, and the source normalization works. What has not been built are the actual N8N workflow definitions. N8N workflows are defined and managed within the N8N platform itself, using its visual editor. Creating the four research workflows (GitHub, Reddit, YouTube, competitive analysis) requires setting up the N8N instance, creating the workflow definitions, configuring the necessary API credentials within N8N, and testing the webhook endpoints.</w:t>
      </w:r>
    </w:p>
    <w:p>
      <w:pPr>
        <w:spacing w:after="60" w:before="60"/>
      </w:pPr>
    </w:p>
    <w:p>
      <w:pPr>
        <w:spacing w:after="60" w:before="60"/>
      </w:pPr>
      <w:r>
        <w:rPr>
          <w:rFonts w:ascii="Arial" w:cs="Arial" w:eastAsia="Arial" w:hAnsi="Arial"/>
          <w:sz w:val="22"/>
          <w:szCs w:val="22"/>
        </w:rPr>
        <w:t xml:space="preserve">To set up N8N workflows for NEXUS, an administrator would need to install and run N8N (the .env.example file suggests using Docker Compose with a provided docker-compose.n8n.yml file), access the N8N editor at http://localhost:5678, create a workflow for each research type with a Webhook trigger node that listens on the corresponding path (e.g., /full_research), implement the research logic using N8N's built-in nodes for API calls, data transformation, and filtering, and configure the workflow to return results in the WebSource format that the bridge expects.</w:t>
      </w:r>
    </w:p>
    <w:p>
      <w:pPr>
        <w:spacing w:after="60" w:before="60"/>
      </w:pPr>
    </w:p>
    <w:p>
      <w:pPr>
        <w:pBdr>
          <w:bottom w:val="single" w:color="CCCCCC" w:sz="3" w:space="1"/>
        </w:pBdr>
        <w:spacing w:after="120" w:before="120"/>
      </w:pPr>
    </w:p>
    <w:p>
      <w:pPr>
        <w:spacing w:after="60" w:before="60"/>
      </w:pPr>
    </w:p>
    <w:p>
      <w:pPr>
        <w:pStyle w:val="Heading2"/>
        <w:spacing w:after="160" w:before="300"/>
      </w:pPr>
      <w:r>
        <w:rPr>
          <w:rFonts w:ascii="Arial" w:cs="Arial" w:eastAsia="Arial" w:hAnsi="Arial"/>
          <w:b/>
          <w:bCs/>
          <w:sz w:val="30"/>
          <w:szCs w:val="30"/>
        </w:rPr>
        <w:t xml:space="preserve">Part 3: The Bot API — External Tool Integration</w:t>
      </w:r>
    </w:p>
    <w:p>
      <w:pPr>
        <w:spacing w:after="60" w:before="60"/>
      </w:pPr>
    </w:p>
    <w:p>
      <w:pPr>
        <w:pStyle w:val="Heading3"/>
        <w:spacing w:after="120" w:before="240"/>
      </w:pPr>
      <w:r>
        <w:rPr>
          <w:rFonts w:ascii="Arial" w:cs="Arial" w:eastAsia="Arial" w:hAnsi="Arial"/>
          <w:b/>
          <w:bCs/>
          <w:sz w:val="26"/>
          <w:szCs w:val="26"/>
        </w:rPr>
        <w:t xml:space="preserve">Purpose and Design Philosophy</w:t>
      </w:r>
    </w:p>
    <w:p>
      <w:pPr>
        <w:spacing w:after="60" w:before="60"/>
      </w:pPr>
    </w:p>
    <w:p>
      <w:pPr>
        <w:spacing w:after="60" w:before="60"/>
      </w:pPr>
      <w:r>
        <w:rPr>
          <w:rFonts w:ascii="Arial" w:cs="Arial" w:eastAsia="Arial" w:hAnsi="Arial"/>
          <w:sz w:val="22"/>
          <w:szCs w:val="22"/>
        </w:rPr>
        <w:t xml:space="preserve">The Bot API represents one of the most innovative aspects of the NEXUS architecture: a dedicated, purpose-built API endpoint that allows Claude Code, the AI development agent that implements all code changes, to report back on task completion without requiring human intervention. This creates a closed loop in the development pipeline: NEXUS researches and plans, the administrator approves, tasks are extracted and assigned to a sprint, Claude Code receives a task prompt and implements the code, and then Claude Code calls the Bot API to update the task status on the kanban board.</w:t>
      </w:r>
    </w:p>
    <w:p>
      <w:pPr>
        <w:spacing w:after="60" w:before="60"/>
      </w:pPr>
    </w:p>
    <w:p>
      <w:pPr>
        <w:spacing w:after="60" w:before="60"/>
      </w:pPr>
      <w:r>
        <w:rPr>
          <w:rFonts w:ascii="Arial" w:cs="Arial" w:eastAsia="Arial" w:hAnsi="Arial"/>
          <w:sz w:val="22"/>
          <w:szCs w:val="22"/>
        </w:rPr>
        <w:t xml:space="preserve">This design is possible because of the unique development model that MemorAid employs. There is no human development team. All code is written by Claude Code, which operates as an autonomous agent that receives structured prompts and produces complete implementations. When Claude Code finishes implementing a task, it needs a way to signal completion without requiring a human to manually move the task card from "In Progress" to "Done" on the kanban board. The Bot API provides exactly this capability.</w:t>
      </w:r>
    </w:p>
    <w:p>
      <w:pPr>
        <w:spacing w:after="60" w:before="60"/>
      </w:pPr>
    </w:p>
    <w:p>
      <w:pPr>
        <w:pStyle w:val="Heading3"/>
        <w:spacing w:after="120" w:before="240"/>
      </w:pPr>
      <w:r>
        <w:rPr>
          <w:rFonts w:ascii="Arial" w:cs="Arial" w:eastAsia="Arial" w:hAnsi="Arial"/>
          <w:b/>
          <w:bCs/>
          <w:sz w:val="26"/>
          <w:szCs w:val="26"/>
        </w:rPr>
        <w:t xml:space="preserve">Authentication with the KANBAN_BOT_API_KEY</w:t>
      </w:r>
    </w:p>
    <w:p>
      <w:pPr>
        <w:spacing w:after="60" w:before="60"/>
      </w:pPr>
    </w:p>
    <w:p>
      <w:pPr>
        <w:spacing w:after="60" w:before="60"/>
      </w:pPr>
      <w:r>
        <w:rPr>
          <w:rFonts w:ascii="Arial" w:cs="Arial" w:eastAsia="Arial" w:hAnsi="Arial"/>
          <w:sz w:val="22"/>
          <w:szCs w:val="22"/>
        </w:rPr>
        <w:t xml:space="preserve">The Bot API uses a separate authentication mechanism from the admin authentication system. While admin routes are protected by session-based cookie authentication, the Bot API is protected by a simple API key transmitted in the Authorization header as a Bearer token. This design decision reflects the different security contexts of the two systems: admin authentication requires a login flow with email and password because it protects a web interface used by human operators, while the Bot API needs a stateless authentication mechanism because it is called from automated scripts and command-line tools.</w:t>
      </w:r>
    </w:p>
    <w:p>
      <w:pPr>
        <w:spacing w:after="60" w:before="60"/>
      </w:pPr>
    </w:p>
    <w:p>
      <w:pPr>
        <w:spacing w:after="60" w:before="60"/>
      </w:pPr>
      <w:r>
        <w:rPr>
          <w:rFonts w:ascii="Arial" w:cs="Arial" w:eastAsia="Arial" w:hAnsi="Arial"/>
          <w:sz w:val="22"/>
          <w:szCs w:val="22"/>
        </w:rPr>
        <w:t xml:space="preserve">The API key is configured via the KANBAN_BOT_API_KEY environment variable. The .env.example file recommends generating this key using the same approach as the encryption key: running "node -e console.log(require('crypto').randomBytes(32).toString('hex'))" to produce a cryptographically random 64-character hexadecimal string. This produces 256 bits of entropy, which is more than sufficient for an API key.</w:t>
      </w:r>
    </w:p>
    <w:p>
      <w:pPr>
        <w:spacing w:after="60" w:before="60"/>
      </w:pPr>
    </w:p>
    <w:p>
      <w:pPr>
        <w:spacing w:after="60" w:before="60"/>
      </w:pPr>
      <w:r>
        <w:rPr>
          <w:rFonts w:ascii="Arial" w:cs="Arial" w:eastAsia="Arial" w:hAnsi="Arial"/>
          <w:sz w:val="22"/>
          <w:szCs w:val="22"/>
        </w:rPr>
        <w:t xml:space="preserve">When a request arrives at the Bot API endpoint, the handler first checks whether the KANBAN_BOT_API_KEY environment variable is set. If it is not set, the endpoint returns a 503 Service Unavailable response with an error message indicating that the Bot API is not configured. This behavior ensures that the endpoint cannot be accidentally left open if the API key is not configured. If the key is set, the handler extracts the Authorization header from the request and compares it to the expected value "Bearer {key}". If the header is missing or does not match, the endpoint returns a 401 Unauthorized response.</w:t>
      </w:r>
    </w:p>
    <w:p>
      <w:pPr>
        <w:spacing w:after="60" w:before="60"/>
      </w:pPr>
    </w:p>
    <w:p>
      <w:pPr>
        <w:pStyle w:val="Heading3"/>
        <w:spacing w:after="120" w:before="240"/>
      </w:pPr>
      <w:r>
        <w:rPr>
          <w:rFonts w:ascii="Arial" w:cs="Arial" w:eastAsia="Arial" w:hAnsi="Arial"/>
          <w:b/>
          <w:bCs/>
          <w:sz w:val="26"/>
          <w:szCs w:val="26"/>
        </w:rPr>
        <w:t xml:space="preserve">The Bot-Move Endpoint</w:t>
      </w:r>
    </w:p>
    <w:p>
      <w:pPr>
        <w:spacing w:after="60" w:before="60"/>
      </w:pPr>
    </w:p>
    <w:p>
      <w:pPr>
        <w:spacing w:after="60" w:before="60"/>
      </w:pPr>
      <w:r>
        <w:rPr>
          <w:rFonts w:ascii="Arial" w:cs="Arial" w:eastAsia="Arial" w:hAnsi="Arial"/>
          <w:sz w:val="22"/>
          <w:szCs w:val="22"/>
        </w:rPr>
        <w:t xml:space="preserve">The Bot API exposes a single endpoint: POST /admin/dev/tasks/:id/bot-move. This endpoint moves a task to a different column on the kanban board by updating the task's columnId in the database. The request body must contain a columnName field specifying the target column (e.g., "Done", "In Progress", "Review").</w:t>
      </w:r>
    </w:p>
    <w:p>
      <w:pPr>
        <w:spacing w:after="60" w:before="60"/>
      </w:pPr>
    </w:p>
    <w:p>
      <w:pPr>
        <w:spacing w:after="60" w:before="60"/>
      </w:pPr>
      <w:r>
        <w:rPr>
          <w:rFonts w:ascii="Arial" w:cs="Arial" w:eastAsia="Arial" w:hAnsi="Arial"/>
          <w:sz w:val="22"/>
          <w:szCs w:val="22"/>
        </w:rPr>
        <w:t xml:space="preserve">The handler first validates that the columnName is provided, returning a 400 Bad Request if it is missing. It then queries the dev_columns table to find the column with the matching name (using case-insensitive comparison via the LOWER SQL function). If no matching column is found, the endpoint returns a 404 Not Found. If the column exists, the handler updates the task's columnId and updatedAt timestamp in the dev_tasks table. If the task does not exist, the endpoint returns a 404 Not Found. On success, the endpoint returns a JSON response with the task ID and the column it was moved to.</w:t>
      </w:r>
    </w:p>
    <w:p>
      <w:pPr>
        <w:spacing w:after="60" w:before="60"/>
      </w:pPr>
    </w:p>
    <w:p>
      <w:pPr>
        <w:pStyle w:val="Heading3"/>
        <w:spacing w:after="120" w:before="240"/>
      </w:pPr>
      <w:r>
        <w:rPr>
          <w:rFonts w:ascii="Arial" w:cs="Arial" w:eastAsia="Arial" w:hAnsi="Arial"/>
          <w:b/>
          <w:bCs/>
          <w:sz w:val="26"/>
          <w:szCs w:val="26"/>
        </w:rPr>
        <w:t xml:space="preserve">The Curl Command in Task Prompts</w:t>
      </w:r>
    </w:p>
    <w:p>
      <w:pPr>
        <w:spacing w:after="60" w:before="60"/>
      </w:pPr>
    </w:p>
    <w:p>
      <w:pPr>
        <w:spacing w:after="60" w:before="60"/>
      </w:pPr>
      <w:r>
        <w:rPr>
          <w:rFonts w:ascii="Arial" w:cs="Arial" w:eastAsia="Arial" w:hAnsi="Arial"/>
          <w:sz w:val="22"/>
          <w:szCs w:val="22"/>
        </w:rPr>
        <w:t xml:space="preserve">The integration between NEXUS and Claude Code is facilitated by the aiPromptFormatter.ts module in the admin client code. When a task prompt is generated for Claude Code, the formatter appends a section titled "Status Update" that includes a complete curl command for calling the Bot API. The curl command looks like this: a POST request to the bot-move endpoint with the task ID, an Authorization header containing the Bearer token referencing the KANBAN_BOT_API_KEY environment variable, a Content-Type header set to application/json, and a JSON body specifying the target column name as "Done."</w:t>
      </w:r>
    </w:p>
    <w:p>
      <w:pPr>
        <w:spacing w:after="60" w:before="60"/>
      </w:pPr>
    </w:p>
    <w:p>
      <w:pPr>
        <w:spacing w:after="60" w:before="60"/>
      </w:pPr>
      <w:r>
        <w:rPr>
          <w:rFonts w:ascii="Arial" w:cs="Arial" w:eastAsia="Arial" w:hAnsi="Arial"/>
          <w:sz w:val="22"/>
          <w:szCs w:val="22"/>
        </w:rPr>
        <w:t xml:space="preserve">The prompt also includes a note explaining that the API key is stored in the .env file under KANBAN_BOT_API_KEY. This means that when Claude Code receives the task prompt, it has all the information it needs to update the task status after completing the implementation. Claude Code reads the environment variable from the .env file, constructs the curl command, and executes it as the final step of the implementation process.</w:t>
      </w:r>
    </w:p>
    <w:p>
      <w:pPr>
        <w:spacing w:after="60" w:before="60"/>
      </w:pPr>
    </w:p>
    <w:p>
      <w:pPr>
        <w:pStyle w:val="Heading3"/>
        <w:spacing w:after="120" w:before="240"/>
      </w:pPr>
      <w:r>
        <w:rPr>
          <w:rFonts w:ascii="Arial" w:cs="Arial" w:eastAsia="Arial" w:hAnsi="Arial"/>
          <w:b/>
          <w:bCs/>
          <w:sz w:val="26"/>
          <w:szCs w:val="26"/>
        </w:rPr>
        <w:t xml:space="preserve">Security Considerations for the Bot API</w:t>
      </w:r>
    </w:p>
    <w:p>
      <w:pPr>
        <w:spacing w:after="60" w:before="60"/>
      </w:pPr>
    </w:p>
    <w:p>
      <w:pPr>
        <w:spacing w:after="60" w:before="60"/>
      </w:pPr>
      <w:r>
        <w:rPr>
          <w:rFonts w:ascii="Arial" w:cs="Arial" w:eastAsia="Arial" w:hAnsi="Arial"/>
          <w:sz w:val="22"/>
          <w:szCs w:val="22"/>
        </w:rPr>
        <w:t xml:space="preserve">The Bot API's security model is intentionally simpler than the admin authentication system, but it still provides several important protections. The API key is stored as an environment variable, which means it is not committed to version control and is only available on systems where the .env file is configured. The key is compared using direct string comparison, which prevents timing attacks because the entire key must match (though constant-time comparison would be a further improvement).</w:t>
      </w:r>
    </w:p>
    <w:p>
      <w:pPr>
        <w:spacing w:after="60" w:before="60"/>
      </w:pPr>
    </w:p>
    <w:p>
      <w:pPr>
        <w:spacing w:after="60" w:before="60"/>
      </w:pPr>
      <w:r>
        <w:rPr>
          <w:rFonts w:ascii="Arial" w:cs="Arial" w:eastAsia="Arial" w:hAnsi="Arial"/>
          <w:sz w:val="22"/>
          <w:szCs w:val="22"/>
        </w:rPr>
        <w:t xml:space="preserve">One area where the Bot API security could be strengthened is rate limiting. The endpoint does not currently have its own rate limiter, which means that a compromised API key could be used to make rapid changes to task statuses. Adding a rate limiter specific to the bot endpoint (perhaps 30 requests per minute) would provide an additional layer of protection.</w:t>
      </w:r>
    </w:p>
    <w:p>
      <w:pPr>
        <w:spacing w:after="60" w:before="60"/>
      </w:pPr>
    </w:p>
    <w:p>
      <w:pPr>
        <w:pStyle w:val="Heading3"/>
        <w:spacing w:after="120" w:before="240"/>
      </w:pPr>
      <w:r>
        <w:rPr>
          <w:rFonts w:ascii="Arial" w:cs="Arial" w:eastAsia="Arial" w:hAnsi="Arial"/>
          <w:b/>
          <w:bCs/>
          <w:sz w:val="26"/>
          <w:szCs w:val="26"/>
        </w:rPr>
        <w:t xml:space="preserve">Use Cases Beyond Claude Code</w:t>
      </w:r>
    </w:p>
    <w:p>
      <w:pPr>
        <w:spacing w:after="60" w:before="60"/>
      </w:pPr>
    </w:p>
    <w:p>
      <w:pPr>
        <w:spacing w:after="60" w:before="60"/>
      </w:pPr>
      <w:r>
        <w:rPr>
          <w:rFonts w:ascii="Arial" w:cs="Arial" w:eastAsia="Arial" w:hAnsi="Arial"/>
          <w:sz w:val="22"/>
          <w:szCs w:val="22"/>
        </w:rPr>
        <w:t xml:space="preserve">While the Bot API was designed primarily for Claude Code integration, it can serve any external tool that needs to update task status programmatically. CI/CD pipelines could call the Bot API to move tasks to "Review" when a pull request is created or to "Done" when a deployment completes. Automated testing systems could move tasks to a "Testing" column when test suites begin and to "Done" or "Failed" when they complete. Monitoring systems could move tasks back to "In Progress" if a deployed feature is rolled back. Any system that can make HTTP requests and has access to the API key can participate in the development workflow.</w:t>
      </w:r>
    </w:p>
    <w:p>
      <w:pPr>
        <w:spacing w:after="60" w:before="60"/>
      </w:pPr>
    </w:p>
    <w:p>
      <w:pPr>
        <w:pBdr>
          <w:bottom w:val="single" w:color="CCCCCC" w:sz="3" w:space="1"/>
        </w:pBdr>
        <w:spacing w:after="120" w:before="120"/>
      </w:pPr>
    </w:p>
    <w:p>
      <w:pPr>
        <w:spacing w:after="60" w:before="60"/>
      </w:pPr>
    </w:p>
    <w:p>
      <w:pPr>
        <w:pStyle w:val="Heading2"/>
        <w:spacing w:after="160" w:before="300"/>
      </w:pPr>
      <w:r>
        <w:rPr>
          <w:rFonts w:ascii="Arial" w:cs="Arial" w:eastAsia="Arial" w:hAnsi="Arial"/>
          <w:b/>
          <w:bCs/>
          <w:sz w:val="30"/>
          <w:szCs w:val="30"/>
        </w:rPr>
        <w:t xml:space="preserve">Part 4: Security Architecture</w:t>
      </w:r>
    </w:p>
    <w:p>
      <w:pPr>
        <w:spacing w:after="60" w:before="60"/>
      </w:pPr>
    </w:p>
    <w:p>
      <w:pPr>
        <w:pStyle w:val="Heading3"/>
        <w:spacing w:after="120" w:before="240"/>
      </w:pPr>
      <w:r>
        <w:rPr>
          <w:rFonts w:ascii="Arial" w:cs="Arial" w:eastAsia="Arial" w:hAnsi="Arial"/>
          <w:b/>
          <w:bCs/>
          <w:sz w:val="26"/>
          <w:szCs w:val="26"/>
        </w:rPr>
        <w:t xml:space="preserve">Admin Authentication System Overview</w:t>
      </w:r>
    </w:p>
    <w:p>
      <w:pPr>
        <w:spacing w:after="60" w:before="60"/>
      </w:pPr>
    </w:p>
    <w:p>
      <w:pPr>
        <w:spacing w:after="60" w:before="60"/>
      </w:pPr>
      <w:r>
        <w:rPr>
          <w:rFonts w:ascii="Arial" w:cs="Arial" w:eastAsia="Arial" w:hAnsi="Arial"/>
          <w:sz w:val="22"/>
          <w:szCs w:val="22"/>
        </w:rPr>
        <w:t xml:space="preserve">The admin authentication system is the primary security mechanism protecting the MemorAid admin panel. It is implemented in the adminRoutes.ts module and follows a traditional session-based authentication pattern with bcrypt password hashing, cryptographically random session tokens, and HttpOnly cookies for session management.</w:t>
      </w:r>
    </w:p>
    <w:p>
      <w:pPr>
        <w:spacing w:after="60" w:before="60"/>
      </w:pPr>
    </w:p>
    <w:p>
      <w:pPr>
        <w:spacing w:after="60" w:before="60"/>
      </w:pPr>
      <w:r>
        <w:rPr>
          <w:rFonts w:ascii="Arial" w:cs="Arial" w:eastAsia="Arial" w:hAnsi="Arial"/>
          <w:sz w:val="22"/>
          <w:szCs w:val="22"/>
        </w:rPr>
        <w:t xml:space="preserve">When an administrator logs in, the system validates their email and password against the admin_users table in the database. The password comparison uses bcrypt.compare, which handles the hash verification and timing-safe comparison automatically. Bcrypt is a well-established password hashing algorithm that includes built-in salting and configurable work factors, making it resistant to brute-force attacks and rainbow table lookups.</w:t>
      </w:r>
    </w:p>
    <w:p>
      <w:pPr>
        <w:spacing w:after="60" w:before="60"/>
      </w:pPr>
    </w:p>
    <w:p>
      <w:pPr>
        <w:spacing w:after="60" w:before="60"/>
      </w:pPr>
      <w:r>
        <w:rPr>
          <w:rFonts w:ascii="Arial" w:cs="Arial" w:eastAsia="Arial" w:hAnsi="Arial"/>
          <w:sz w:val="22"/>
          <w:szCs w:val="22"/>
        </w:rPr>
        <w:t xml:space="preserve">If the credentials are valid, the system generates a 32-byte (256-bit) random session token using crypto.randomBytes. This token is stored in the admin_sessions table with a reference to the admin user and an expiration timestamp. The default session duration is eight hours (defined as SESSION_TTL = 60 * 60 * 8), but if the user selects "Remember Me" during login, the session is extended to thirty days (60 * 60 * 24 * 30).</w:t>
      </w:r>
    </w:p>
    <w:p>
      <w:pPr>
        <w:spacing w:after="60" w:before="60"/>
      </w:pPr>
    </w:p>
    <w:p>
      <w:pPr>
        <w:spacing w:after="60" w:before="60"/>
      </w:pPr>
      <w:r>
        <w:rPr>
          <w:rFonts w:ascii="Arial" w:cs="Arial" w:eastAsia="Arial" w:hAnsi="Arial"/>
          <w:sz w:val="22"/>
          <w:szCs w:val="22"/>
        </w:rPr>
        <w:t xml:space="preserve">The session token is sent to the client as an HttpOnly cookie named "mr_admin_session." The cookie is configured with the Path set to "/", SameSite set to "Lax" (protecting against CSRF attacks while allowing normal navigation), and a Max-Age matching the session TTL. In production environments, the Secure flag is also set, ensuring the cookie is only transmitted over HTTPS connections.</w:t>
      </w:r>
    </w:p>
    <w:p>
      <w:pPr>
        <w:spacing w:after="60" w:before="60"/>
      </w:pPr>
    </w:p>
    <w:p>
      <w:pPr>
        <w:pStyle w:val="Heading3"/>
        <w:spacing w:after="120" w:before="240"/>
      </w:pPr>
      <w:r>
        <w:rPr>
          <w:rFonts w:ascii="Arial" w:cs="Arial" w:eastAsia="Arial" w:hAnsi="Arial"/>
          <w:b/>
          <w:bCs/>
          <w:sz w:val="26"/>
          <w:szCs w:val="26"/>
        </w:rPr>
        <w:t xml:space="preserve">Session Validation and Token Refresh</w:t>
      </w:r>
    </w:p>
    <w:p>
      <w:pPr>
        <w:spacing w:after="60" w:before="60"/>
      </w:pPr>
    </w:p>
    <w:p>
      <w:pPr>
        <w:spacing w:after="60" w:before="60"/>
      </w:pPr>
      <w:r>
        <w:rPr>
          <w:rFonts w:ascii="Arial" w:cs="Arial" w:eastAsia="Arial" w:hAnsi="Arial"/>
          <w:sz w:val="22"/>
          <w:szCs w:val="22"/>
        </w:rPr>
        <w:t xml:space="preserve">Every admin API request passes through the getAdminFromRequest function, which extracts the session token from the cookie, queries the database for a matching non-expired session, and joins with the admin_users table to retrieve the user's profile (ID, email, full name, and role). The query also checks that the admin user is active (isActive = true), ensuring that deactivated accounts cannot use existing sessions.</w:t>
      </w:r>
    </w:p>
    <w:p>
      <w:pPr>
        <w:spacing w:after="60" w:before="60"/>
      </w:pPr>
    </w:p>
    <w:p>
      <w:pPr>
        <w:spacing w:after="60" w:before="60"/>
      </w:pPr>
      <w:r>
        <w:rPr>
          <w:rFonts w:ascii="Arial" w:cs="Arial" w:eastAsia="Arial" w:hAnsi="Arial"/>
          <w:sz w:val="22"/>
          <w:szCs w:val="22"/>
        </w:rPr>
        <w:t xml:space="preserve">The session refresh endpoint (/auth/refresh) allows the client to extend an active session without requiring the user to log in again. It deletes the old session token and creates a new one with a fresh expiration time. This rotation mechanism is a security best practice because it limits the window during which a compromised session token can be exploited.</w:t>
      </w:r>
    </w:p>
    <w:p>
      <w:pPr>
        <w:spacing w:after="60" w:before="60"/>
      </w:pPr>
    </w:p>
    <w:p>
      <w:pPr>
        <w:spacing w:after="60" w:before="60"/>
      </w:pPr>
      <w:r>
        <w:rPr>
          <w:rFonts w:ascii="Arial" w:cs="Arial" w:eastAsia="Arial" w:hAnsi="Arial"/>
          <w:sz w:val="22"/>
          <w:szCs w:val="22"/>
        </w:rPr>
        <w:t xml:space="preserve">The logout endpoint (/auth/logout) deletes the session from the database and clears the cookie by setting its Max-Age to zero. This ensures immediate invalidation, unlike JWT-based approaches where tokens remain valid until they expire.</w:t>
      </w:r>
    </w:p>
    <w:p>
      <w:pPr>
        <w:spacing w:after="60" w:before="60"/>
      </w:pPr>
    </w:p>
    <w:p>
      <w:pPr>
        <w:pStyle w:val="Heading3"/>
        <w:spacing w:after="120" w:before="240"/>
      </w:pPr>
      <w:r>
        <w:rPr>
          <w:rFonts w:ascii="Arial" w:cs="Arial" w:eastAsia="Arial" w:hAnsi="Arial"/>
          <w:b/>
          <w:bCs/>
          <w:sz w:val="26"/>
          <w:szCs w:val="26"/>
        </w:rPr>
        <w:t xml:space="preserve">Development Authentication Bypass</w:t>
      </w:r>
    </w:p>
    <w:p>
      <w:pPr>
        <w:spacing w:after="60" w:before="60"/>
      </w:pPr>
    </w:p>
    <w:p>
      <w:pPr>
        <w:spacing w:after="60" w:before="60"/>
      </w:pPr>
      <w:r>
        <w:rPr>
          <w:rFonts w:ascii="Arial" w:cs="Arial" w:eastAsia="Arial" w:hAnsi="Arial"/>
          <w:sz w:val="22"/>
          <w:szCs w:val="22"/>
        </w:rPr>
        <w:t xml:space="preserve">In development environments, the system supports an authentication bypass controlled by the DEV_SKIP_AUTH environment variable. When this variable is set to "1" and the NODE_ENV is not "production" and the request includes an "X-Dev-Bypass" header set to "1", the system returns a mock admin user with super_admin role privileges instead of validating credentials.</w:t>
      </w:r>
    </w:p>
    <w:p>
      <w:pPr>
        <w:spacing w:after="60" w:before="60"/>
      </w:pPr>
    </w:p>
    <w:p>
      <w:pPr>
        <w:spacing w:after="60" w:before="60"/>
      </w:pPr>
      <w:r>
        <w:rPr>
          <w:rFonts w:ascii="Arial" w:cs="Arial" w:eastAsia="Arial" w:hAnsi="Arial"/>
          <w:sz w:val="22"/>
          <w:szCs w:val="22"/>
        </w:rPr>
        <w:t xml:space="preserve">This bypass is critical for development efficiency because it allows developers (and AI tools like Claude Code) to test admin endpoints without needing to maintain a valid login session. However, the system includes a critical safety guard in the main index.ts file: if DEV_SKIP_AUTH is set to "1" in a production environment, the server immediately prints a fatal error message and calls process.exit(1) to terminate. This ensures that the development bypass can never accidentally be left enabled in production.</w:t>
      </w:r>
    </w:p>
    <w:p>
      <w:pPr>
        <w:spacing w:after="60" w:before="60"/>
      </w:pPr>
    </w:p>
    <w:p>
      <w:pPr>
        <w:spacing w:after="60" w:before="60"/>
      </w:pPr>
      <w:r>
        <w:rPr>
          <w:rFonts w:ascii="Arial" w:cs="Arial" w:eastAsia="Arial" w:hAnsi="Arial"/>
          <w:sz w:val="22"/>
          <w:szCs w:val="22"/>
        </w:rPr>
        <w:t xml:space="preserve">The bypass also serves as a fallback in the requireAdmin middleware. If the database connection fails (which can happen during development when the database is being reset or migrated), the middleware checks for the dev bypass header and, if present, allows the request to proceed with the mock admin. This prevents database issues from completely blocking development work.</w:t>
      </w:r>
    </w:p>
    <w:p>
      <w:pPr>
        <w:spacing w:after="60" w:before="60"/>
      </w:pPr>
    </w:p>
    <w:p>
      <w:pPr>
        <w:pStyle w:val="Heading3"/>
        <w:spacing w:after="120" w:before="240"/>
      </w:pPr>
      <w:r>
        <w:rPr>
          <w:rFonts w:ascii="Arial" w:cs="Arial" w:eastAsia="Arial" w:hAnsi="Arial"/>
          <w:b/>
          <w:bCs/>
          <w:sz w:val="26"/>
          <w:szCs w:val="26"/>
        </w:rPr>
        <w:t xml:space="preserve">DEV_SECRET for Health and Development Endpoints</w:t>
      </w:r>
    </w:p>
    <w:p>
      <w:pPr>
        <w:spacing w:after="60" w:before="60"/>
      </w:pPr>
    </w:p>
    <w:p>
      <w:pPr>
        <w:spacing w:after="60" w:before="60"/>
      </w:pPr>
      <w:r>
        <w:rPr>
          <w:rFonts w:ascii="Arial" w:cs="Arial" w:eastAsia="Arial" w:hAnsi="Arial"/>
          <w:sz w:val="22"/>
          <w:szCs w:val="22"/>
        </w:rPr>
        <w:t xml:space="preserve">A second development-related environment variable, DEV_SECRET, controls access to health check and development utility endpoints. These endpoints allow developers to inspect database tables, reset passwords, and perform other administrative operations that should never be accessible in production. When DEV_SECRET is not set, these endpoints return 404 Not Found, making them effectively invisible.</w:t>
      </w:r>
    </w:p>
    <w:p>
      <w:pPr>
        <w:spacing w:after="60" w:before="60"/>
      </w:pPr>
    </w:p>
    <w:p>
      <w:pPr>
        <w:spacing w:after="60" w:before="60"/>
      </w:pPr>
      <w:r>
        <w:rPr>
          <w:rFonts w:ascii="Arial" w:cs="Arial" w:eastAsia="Arial" w:hAnsi="Arial"/>
          <w:sz w:val="22"/>
          <w:szCs w:val="22"/>
        </w:rPr>
        <w:t xml:space="preserve">The DEV_RESET_PASSWORD variable works in conjunction with DEV_SECRET to provide a password reset capability for development environments. When both variables are set, a special endpoint allows all admin user passwords to be reset to the value of DEV_RESET_PASSWORD. This is useful when setting up development environments or when the admin password has been forgotten during local development.</w:t>
      </w:r>
    </w:p>
    <w:p>
      <w:pPr>
        <w:spacing w:after="60" w:before="60"/>
      </w:pPr>
    </w:p>
    <w:p>
      <w:pPr>
        <w:pStyle w:val="Heading3"/>
        <w:spacing w:after="120" w:before="240"/>
      </w:pPr>
      <w:r>
        <w:rPr>
          <w:rFonts w:ascii="Arial" w:cs="Arial" w:eastAsia="Arial" w:hAnsi="Arial"/>
          <w:b/>
          <w:bCs/>
          <w:sz w:val="26"/>
          <w:szCs w:val="26"/>
        </w:rPr>
        <w:t xml:space="preserve">Middleware Stack and Request Pipeline</w:t>
      </w:r>
    </w:p>
    <w:p>
      <w:pPr>
        <w:spacing w:after="60" w:before="60"/>
      </w:pPr>
    </w:p>
    <w:p>
      <w:pPr>
        <w:spacing w:after="60" w:before="60"/>
      </w:pPr>
      <w:r>
        <w:rPr>
          <w:rFonts w:ascii="Arial" w:cs="Arial" w:eastAsia="Arial" w:hAnsi="Arial"/>
          <w:sz w:val="22"/>
          <w:szCs w:val="22"/>
        </w:rPr>
        <w:t xml:space="preserve">The server's middleware stack is configured in index.ts and processes every request through a series of security-enhancing layers before it reaches any route handler.</w:t>
      </w:r>
    </w:p>
    <w:p>
      <w:pPr>
        <w:spacing w:after="60" w:before="60"/>
      </w:pPr>
    </w:p>
    <w:p>
      <w:pPr>
        <w:spacing w:after="60" w:before="60"/>
      </w:pPr>
      <w:r>
        <w:rPr>
          <w:rFonts w:ascii="Arial" w:cs="Arial" w:eastAsia="Arial" w:hAnsi="Arial"/>
          <w:sz w:val="22"/>
          <w:szCs w:val="22"/>
        </w:rPr>
        <w:t xml:space="preserve">The first middleware after the raw body handler for Stripe webhooks is the express.json() parser, which processes JSON request bodies. This is followed by the cookieParser middleware, which parses cookie headers and makes them available on the request object.</w:t>
      </w:r>
    </w:p>
    <w:p>
      <w:pPr>
        <w:spacing w:after="60" w:before="60"/>
      </w:pPr>
    </w:p>
    <w:p>
      <w:pPr>
        <w:spacing w:after="60" w:before="60"/>
      </w:pPr>
      <w:r>
        <w:rPr>
          <w:rFonts w:ascii="Arial" w:cs="Arial" w:eastAsia="Arial" w:hAnsi="Arial"/>
          <w:sz w:val="22"/>
          <w:szCs w:val="22"/>
        </w:rPr>
        <w:t xml:space="preserve">The security headers middleware runs next and sets a comprehensive set of headers on every response. X-Frame-Options is set to "DENY" to prevent the application from being embedded in iframes, which protects against clickjacking attacks. X-Content-Type-Options is set to "nosniff" to prevent browsers from MIME-type sniffing, which can lead to security vulnerabilities when browsers misinterpret file types. X-XSS-Protection is set to "1; mode=block" to enable the legacy XSS filter in older browsers that do not support Content-Security-Policy. Referrer-Policy is set to "strict-origin-when-cross-origin" to limit referrer information leakage on cross-origin requests. The X-Powered-By header is removed to avoid exposing the technology stack. In production, Strict-Transport-Security is set with a two-year max-age, includeSubDomains, and preload to enforce HTTPS.</w:t>
      </w:r>
    </w:p>
    <w:p>
      <w:pPr>
        <w:spacing w:after="60" w:before="60"/>
      </w:pPr>
    </w:p>
    <w:p>
      <w:pPr>
        <w:spacing w:after="60" w:before="60"/>
      </w:pPr>
      <w:r>
        <w:rPr>
          <w:rFonts w:ascii="Arial" w:cs="Arial" w:eastAsia="Arial" w:hAnsi="Arial"/>
          <w:sz w:val="22"/>
          <w:szCs w:val="22"/>
        </w:rPr>
        <w:t xml:space="preserve">The Content-Security-Policy header is set differently for API and non-API routes. API routes receive a very strict policy ("default-src 'none'; frame-ancestors 'none'") because they should never serve HTML content. Non-API routes receive a more permissive policy that allows scripts and styles from the same origin, images from the same origin and data/blob URLs and HTTPS sources, and connections to the same origin and HTTPS/WSS sources.</w:t>
      </w:r>
    </w:p>
    <w:p>
      <w:pPr>
        <w:spacing w:after="60" w:before="60"/>
      </w:pPr>
    </w:p>
    <w:p>
      <w:pPr>
        <w:spacing w:after="60" w:before="60"/>
      </w:pPr>
      <w:r>
        <w:rPr>
          <w:rFonts w:ascii="Arial" w:cs="Arial" w:eastAsia="Arial" w:hAnsi="Arial"/>
          <w:sz w:val="22"/>
          <w:szCs w:val="22"/>
        </w:rPr>
        <w:t xml:space="preserve">The Permissions-Policy header disables geolocation, camera, and microphone APIs, which are not needed by the application and could be exploited by injected scripts.</w:t>
      </w:r>
    </w:p>
    <w:p>
      <w:pPr>
        <w:spacing w:after="60" w:before="60"/>
      </w:pPr>
    </w:p>
    <w:p>
      <w:pPr>
        <w:pStyle w:val="Heading3"/>
        <w:spacing w:after="120" w:before="240"/>
      </w:pPr>
      <w:r>
        <w:rPr>
          <w:rFonts w:ascii="Arial" w:cs="Arial" w:eastAsia="Arial" w:hAnsi="Arial"/>
          <w:b/>
          <w:bCs/>
          <w:sz w:val="26"/>
          <w:szCs w:val="26"/>
        </w:rPr>
        <w:t xml:space="preserve">Rate Limiting Configuration</w:t>
      </w:r>
    </w:p>
    <w:p>
      <w:pPr>
        <w:spacing w:after="60" w:before="60"/>
      </w:pPr>
    </w:p>
    <w:p>
      <w:pPr>
        <w:spacing w:after="60" w:before="60"/>
      </w:pPr>
      <w:r>
        <w:rPr>
          <w:rFonts w:ascii="Arial" w:cs="Arial" w:eastAsia="Arial" w:hAnsi="Arial"/>
          <w:sz w:val="22"/>
          <w:szCs w:val="22"/>
        </w:rPr>
        <w:t xml:space="preserve">The server configures several rate limiters using the express-rate-limit library, each targeting a specific set of endpoints that are particularly sensitive to abuse.</w:t>
      </w:r>
    </w:p>
    <w:p>
      <w:pPr>
        <w:spacing w:after="60" w:before="60"/>
      </w:pPr>
    </w:p>
    <w:p>
      <w:pPr>
        <w:spacing w:after="60" w:before="60"/>
      </w:pPr>
      <w:r>
        <w:rPr>
          <w:rFonts w:ascii="Arial" w:cs="Arial" w:eastAsia="Arial" w:hAnsi="Arial"/>
          <w:sz w:val="22"/>
          <w:szCs w:val="22"/>
        </w:rPr>
        <w:t xml:space="preserve">The login rate limiter protects the /api/admin/auth/login and /api/auth/login endpoints with a window of 15 minutes and a maximum of 5 requests. This means that after five failed login attempts from the same IP address, further attempts are blocked for 15 minutes. Importantly, this limiter is configured with a skip function that disables rate limiting in non-production environments, allowing developers to make rapid login requests during testing without being blocked.</w:t>
      </w:r>
    </w:p>
    <w:p>
      <w:pPr>
        <w:spacing w:after="60" w:before="60"/>
      </w:pPr>
    </w:p>
    <w:p>
      <w:pPr>
        <w:spacing w:after="60" w:before="60"/>
      </w:pPr>
      <w:r>
        <w:rPr>
          <w:rFonts w:ascii="Arial" w:cs="Arial" w:eastAsia="Arial" w:hAnsi="Arial"/>
          <w:sz w:val="22"/>
          <w:szCs w:val="22"/>
        </w:rPr>
        <w:t xml:space="preserve">The upload rate limiter protects the /api/medical-documents/upload endpoint with a window of 1 minute and a maximum of 10 uploads. Medical documents can be large files, and this limiter prevents both accidental and malicious bulk uploads that could overwhelm the server or the storage backend.</w:t>
      </w:r>
    </w:p>
    <w:p>
      <w:pPr>
        <w:spacing w:after="60" w:before="60"/>
      </w:pPr>
    </w:p>
    <w:p>
      <w:pPr>
        <w:spacing w:after="60" w:before="60"/>
      </w:pPr>
      <w:r>
        <w:rPr>
          <w:rFonts w:ascii="Arial" w:cs="Arial" w:eastAsia="Arial" w:hAnsi="Arial"/>
          <w:sz w:val="22"/>
          <w:szCs w:val="22"/>
        </w:rPr>
        <w:t xml:space="preserve">The memories rate limiter protects the /api/memory-stories endpoint with a window of 1 minute and a maximum of 30 requests. Memory stories are a user-facing feature where families can create and browse memory content about their loved ones, and this limiter prevents excessive API calls from misbehaving client-side code.</w:t>
      </w:r>
    </w:p>
    <w:p>
      <w:pPr>
        <w:spacing w:after="60" w:before="60"/>
      </w:pPr>
    </w:p>
    <w:p>
      <w:pPr>
        <w:spacing w:after="60" w:before="60"/>
      </w:pPr>
      <w:r>
        <w:rPr>
          <w:rFonts w:ascii="Arial" w:cs="Arial" w:eastAsia="Arial" w:hAnsi="Arial"/>
          <w:sz w:val="22"/>
          <w:szCs w:val="22"/>
        </w:rPr>
        <w:t xml:space="preserve">The AI request rate limiter, defined in the admin routes module, protects AI-related POST endpoints with a window of 1 minute and a maximum of 10 requests. This is particularly important because AI API calls are expensive in both time and money, and uncontrolled API usage could rapidly exhaust the configured API quotas with external providers.</w:t>
      </w:r>
    </w:p>
    <w:p>
      <w:pPr>
        <w:spacing w:after="60" w:before="60"/>
      </w:pPr>
    </w:p>
    <w:p>
      <w:pPr>
        <w:pStyle w:val="Heading3"/>
        <w:spacing w:after="120" w:before="240"/>
      </w:pPr>
      <w:r>
        <w:rPr>
          <w:rFonts w:ascii="Arial" w:cs="Arial" w:eastAsia="Arial" w:hAnsi="Arial"/>
          <w:b/>
          <w:bCs/>
          <w:sz w:val="26"/>
          <w:szCs w:val="26"/>
        </w:rPr>
        <w:t xml:space="preserve">CORS Configuration</w:t>
      </w:r>
    </w:p>
    <w:p>
      <w:pPr>
        <w:spacing w:after="60" w:before="60"/>
      </w:pPr>
    </w:p>
    <w:p>
      <w:pPr>
        <w:spacing w:after="60" w:before="60"/>
      </w:pPr>
      <w:r>
        <w:rPr>
          <w:rFonts w:ascii="Arial" w:cs="Arial" w:eastAsia="Arial" w:hAnsi="Arial"/>
          <w:sz w:val="22"/>
          <w:szCs w:val="22"/>
        </w:rPr>
        <w:t xml:space="preserve">Cross-Origin Resource Sharing (CORS) is configured in the server middleware to control which origins are allowed to make requests to the API. The configuration is more permissive in development and more restrictive in production.</w:t>
      </w:r>
    </w:p>
    <w:p>
      <w:pPr>
        <w:spacing w:after="60" w:before="60"/>
      </w:pPr>
    </w:p>
    <w:p>
      <w:pPr>
        <w:spacing w:after="60" w:before="60"/>
      </w:pPr>
      <w:r>
        <w:rPr>
          <w:rFonts w:ascii="Arial" w:cs="Arial" w:eastAsia="Arial" w:hAnsi="Arial"/>
          <w:sz w:val="22"/>
          <w:szCs w:val="22"/>
        </w:rPr>
        <w:t xml:space="preserve">In development (when NODE_ENV is not "production"), the allowed origins include localhost:5173 (Vite development server), localhost:3000, and localhost:4173 (Vite preview server), along with any origins specified in the ALLOWED_ORIGINS environment variable and the APP_BASE_URL. Requests from any of these origins receive appropriate CORS headers.</w:t>
      </w:r>
    </w:p>
    <w:p>
      <w:pPr>
        <w:spacing w:after="60" w:before="60"/>
      </w:pPr>
    </w:p>
    <w:p>
      <w:pPr>
        <w:spacing w:after="60" w:before="60"/>
      </w:pPr>
      <w:r>
        <w:rPr>
          <w:rFonts w:ascii="Arial" w:cs="Arial" w:eastAsia="Arial" w:hAnsi="Arial"/>
          <w:sz w:val="22"/>
          <w:szCs w:val="22"/>
        </w:rPr>
        <w:t xml:space="preserve">In production, only origins in the ALLOWED_ORIGINS set are permitted. The set is constructed from the comma-separated ALLOWED_ORIGINS environment variable and the APP_BASE_URL. Requests from unlisted origins receive "null" as the Access-Control-Allow-Origin value, effectively blocking cross-origin requests.</w:t>
      </w:r>
    </w:p>
    <w:p>
      <w:pPr>
        <w:spacing w:after="60" w:before="60"/>
      </w:pPr>
    </w:p>
    <w:p>
      <w:pPr>
        <w:spacing w:after="60" w:before="60"/>
      </w:pPr>
      <w:r>
        <w:rPr>
          <w:rFonts w:ascii="Arial" w:cs="Arial" w:eastAsia="Arial" w:hAnsi="Arial"/>
          <w:sz w:val="22"/>
          <w:szCs w:val="22"/>
        </w:rPr>
        <w:t xml:space="preserve">The CORS middleware sets the Vary header to "Origin" to ensure that caching proxies do not incorrectly cache CORS responses for different origins. Credentials are allowed (Access-Control-Allow-Credentials: true) because the admin panel uses cookie-based authentication. OPTIONS preflight requests are handled by returning a 204 No Content response.</w:t>
      </w:r>
    </w:p>
    <w:p>
      <w:pPr>
        <w:spacing w:after="60" w:before="60"/>
      </w:pPr>
    </w:p>
    <w:p>
      <w:pPr>
        <w:pBdr>
          <w:bottom w:val="single" w:color="CCCCCC" w:sz="3" w:space="1"/>
        </w:pBdr>
        <w:spacing w:after="120" w:before="120"/>
      </w:pPr>
    </w:p>
    <w:p>
      <w:pPr>
        <w:spacing w:after="60" w:before="60"/>
      </w:pPr>
    </w:p>
    <w:p>
      <w:pPr>
        <w:pStyle w:val="Heading2"/>
        <w:spacing w:after="160" w:before="300"/>
      </w:pPr>
      <w:r>
        <w:rPr>
          <w:rFonts w:ascii="Arial" w:cs="Arial" w:eastAsia="Arial" w:hAnsi="Arial"/>
          <w:b/>
          <w:bCs/>
          <w:sz w:val="30"/>
          <w:szCs w:val="30"/>
        </w:rPr>
        <w:t xml:space="preserve">Part 5: Data Protection and Encryption</w:t>
      </w:r>
    </w:p>
    <w:p>
      <w:pPr>
        <w:spacing w:after="60" w:before="60"/>
      </w:pPr>
    </w:p>
    <w:p>
      <w:pPr>
        <w:pStyle w:val="Heading3"/>
        <w:spacing w:after="120" w:before="240"/>
      </w:pPr>
      <w:r>
        <w:rPr>
          <w:rFonts w:ascii="Arial" w:cs="Arial" w:eastAsia="Arial" w:hAnsi="Arial"/>
          <w:b/>
          <w:bCs/>
          <w:sz w:val="26"/>
          <w:szCs w:val="26"/>
        </w:rPr>
        <w:t xml:space="preserve">The Need for Field-Level Encryption</w:t>
      </w:r>
    </w:p>
    <w:p>
      <w:pPr>
        <w:spacing w:after="60" w:before="60"/>
      </w:pPr>
    </w:p>
    <w:p>
      <w:pPr>
        <w:spacing w:after="60" w:before="60"/>
      </w:pPr>
      <w:r>
        <w:rPr>
          <w:rFonts w:ascii="Arial" w:cs="Arial" w:eastAsia="Arial" w:hAnsi="Arial"/>
          <w:sz w:val="22"/>
          <w:szCs w:val="22"/>
        </w:rPr>
        <w:t xml:space="preserve">MemorAid handles some of the most sensitive categories of personal information: healthcare data for dementia and Alzheimer's patients. Among this data, certain fields are particularly sensitive from a regulatory and ethical perspective. Government-issued identification numbers and insurance numbers are unique identifiers that can be used for identity theft if exposed. These fields require encryption at rest to ensure that even if the database is compromised, the raw values cannot be read without the encryption key.</w:t>
      </w:r>
    </w:p>
    <w:p>
      <w:pPr>
        <w:spacing w:after="60" w:before="60"/>
      </w:pPr>
    </w:p>
    <w:p>
      <w:pPr>
        <w:spacing w:after="60" w:before="60"/>
      </w:pPr>
      <w:r>
        <w:rPr>
          <w:rFonts w:ascii="Arial" w:cs="Arial" w:eastAsia="Arial" w:hAnsi="Arial"/>
          <w:sz w:val="22"/>
          <w:szCs w:val="22"/>
        </w:rPr>
        <w:t xml:space="preserve">The decision to encrypt specific PII fields rather than encrypting the entire database reflects a practical tradeoff. Full-disk encryption or transparent database encryption protects against physical theft of storage media but does not protect against SQL injection attacks, application-level data leaks, or authorized but excessive database access. Field-level encryption ensures that even someone with full database read access (such as a compromised admin account or a cloud provider's support personnel) cannot read the encrypted values without possessing the separate encryption key.</w:t>
      </w:r>
    </w:p>
    <w:p>
      <w:pPr>
        <w:spacing w:after="60" w:before="60"/>
      </w:pPr>
    </w:p>
    <w:p>
      <w:pPr>
        <w:pStyle w:val="Heading3"/>
        <w:spacing w:after="120" w:before="240"/>
      </w:pPr>
      <w:r>
        <w:rPr>
          <w:rFonts w:ascii="Arial" w:cs="Arial" w:eastAsia="Arial" w:hAnsi="Arial"/>
          <w:b/>
          <w:bCs/>
          <w:sz w:val="26"/>
          <w:szCs w:val="26"/>
        </w:rPr>
        <w:t xml:space="preserve">The ENCRYPTION_KEY Environment Variable</w:t>
      </w:r>
    </w:p>
    <w:p>
      <w:pPr>
        <w:spacing w:after="60" w:before="60"/>
      </w:pPr>
    </w:p>
    <w:p>
      <w:pPr>
        <w:spacing w:after="60" w:before="60"/>
      </w:pPr>
      <w:r>
        <w:rPr>
          <w:rFonts w:ascii="Arial" w:cs="Arial" w:eastAsia="Arial" w:hAnsi="Arial"/>
          <w:sz w:val="22"/>
          <w:szCs w:val="22"/>
        </w:rPr>
        <w:t xml:space="preserve">The encryption key is configured via the ENCRYPTION_KEY environment variable, which must be a 64-character hexadecimal string representing 32 bytes (256 bits) of random data. The .env.example file provides the generation command: "node -e console.log(require('crypto').randomBytes(32).toString('hex'))". This command uses Node.js's built-in crypto module to generate cryptographically strong random bytes, which are then converted to a hexadecimal string for easy storage in environment variables.</w:t>
      </w:r>
    </w:p>
    <w:p>
      <w:pPr>
        <w:spacing w:after="60" w:before="60"/>
      </w:pPr>
    </w:p>
    <w:p>
      <w:pPr>
        <w:spacing w:after="60" w:before="60"/>
      </w:pPr>
      <w:r>
        <w:rPr>
          <w:rFonts w:ascii="Arial" w:cs="Arial" w:eastAsia="Arial" w:hAnsi="Arial"/>
          <w:sz w:val="22"/>
          <w:szCs w:val="22"/>
        </w:rPr>
        <w:t xml:space="preserve">The 32-byte key length corresponds to AES-256, which is the current gold standard for symmetric encryption. AES-256 is approved by the U.S. National Institute of Standards and Technology (NIST) and is widely used in healthcare, financial, and government applications. The 256-bit key space is large enough that brute-force attacks are computationally infeasible with current and foreseeable technology.</w:t>
      </w:r>
    </w:p>
    <w:p>
      <w:pPr>
        <w:spacing w:after="60" w:before="60"/>
      </w:pPr>
    </w:p>
    <w:p>
      <w:pPr>
        <w:pStyle w:val="Heading3"/>
        <w:spacing w:after="120" w:before="240"/>
      </w:pPr>
      <w:r>
        <w:rPr>
          <w:rFonts w:ascii="Arial" w:cs="Arial" w:eastAsia="Arial" w:hAnsi="Arial"/>
          <w:b/>
          <w:bCs/>
          <w:sz w:val="26"/>
          <w:szCs w:val="26"/>
        </w:rPr>
        <w:t xml:space="preserve">AES-256-CBC Implementation</w:t>
      </w:r>
    </w:p>
    <w:p>
      <w:pPr>
        <w:spacing w:after="60" w:before="60"/>
      </w:pPr>
    </w:p>
    <w:p>
      <w:pPr>
        <w:spacing w:after="60" w:before="60"/>
      </w:pPr>
      <w:r>
        <w:rPr>
          <w:rFonts w:ascii="Arial" w:cs="Arial" w:eastAsia="Arial" w:hAnsi="Arial"/>
          <w:sz w:val="22"/>
          <w:szCs w:val="22"/>
        </w:rPr>
        <w:t xml:space="preserve">The encryption service is implemented in the server/src/services/encryption.ts module, which is a clean, focused module of approximately 88 lines. The implementation uses AES-256-CBC (Cipher Block Chaining) mode with a random initialization vector (IV) for each encryption operation.</w:t>
      </w:r>
    </w:p>
    <w:p>
      <w:pPr>
        <w:spacing w:after="60" w:before="60"/>
      </w:pPr>
    </w:p>
    <w:p>
      <w:pPr>
        <w:spacing w:after="60" w:before="60"/>
      </w:pPr>
      <w:r>
        <w:rPr>
          <w:rFonts w:ascii="Arial" w:cs="Arial" w:eastAsia="Arial" w:hAnsi="Arial"/>
          <w:sz w:val="22"/>
          <w:szCs w:val="22"/>
        </w:rPr>
        <w:t xml:space="preserve">The encrypt function takes a plaintext string and returns an encrypted string in the format "ivHex:encryptedHex." The function first generates a random 16-byte IV using crypto.randomBytes. It then creates a cipher using crypto.createCipheriv with the AES-256-CBC algorithm, the 32-byte key derived from the environment variable, and the random IV. The plaintext is encrypted using the cipher's update and final methods, and the result is concatenated into a single buffer. The function returns the IV and encrypted data as hexadecimal strings separated by a colon.</w:t>
      </w:r>
    </w:p>
    <w:p>
      <w:pPr>
        <w:spacing w:after="60" w:before="60"/>
      </w:pPr>
    </w:p>
    <w:p>
      <w:pPr>
        <w:spacing w:after="60" w:before="60"/>
      </w:pPr>
      <w:r>
        <w:rPr>
          <w:rFonts w:ascii="Arial" w:cs="Arial" w:eastAsia="Arial" w:hAnsi="Arial"/>
          <w:sz w:val="22"/>
          <w:szCs w:val="22"/>
        </w:rPr>
        <w:t xml:space="preserve">The decrypt function reverses this process. It takes an encrypted string, splits it on the colon to extract the IV and encrypted data, converts both from hexadecimal to buffers, creates a decipher with the same algorithm, key, and IV, and returns the decrypted plaintext.</w:t>
      </w:r>
    </w:p>
    <w:p>
      <w:pPr>
        <w:spacing w:after="60" w:before="60"/>
      </w:pPr>
    </w:p>
    <w:p>
      <w:pPr>
        <w:spacing w:after="60" w:before="60"/>
      </w:pPr>
      <w:r>
        <w:rPr>
          <w:rFonts w:ascii="Arial" w:cs="Arial" w:eastAsia="Arial" w:hAnsi="Arial"/>
          <w:sz w:val="22"/>
          <w:szCs w:val="22"/>
        </w:rPr>
        <w:t xml:space="preserve">The use of a random IV for each encryption operation is a critical security feature. Without a unique IV, the same plaintext encrypted with the same key would always produce the same ciphertext, which leaks information about the data patterns. With random IVs, identical plaintexts produce different ciphertexts, making pattern analysis impossible.</w:t>
      </w:r>
    </w:p>
    <w:p>
      <w:pPr>
        <w:spacing w:after="60" w:before="60"/>
      </w:pPr>
    </w:p>
    <w:p>
      <w:pPr>
        <w:pStyle w:val="Heading3"/>
        <w:spacing w:after="120" w:before="240"/>
      </w:pPr>
      <w:r>
        <w:rPr>
          <w:rFonts w:ascii="Arial" w:cs="Arial" w:eastAsia="Arial" w:hAnsi="Arial"/>
          <w:b/>
          <w:bCs/>
          <w:sz w:val="26"/>
          <w:szCs w:val="26"/>
        </w:rPr>
        <w:t xml:space="preserve">Graceful Degradation Without an Encryption Key</w:t>
      </w:r>
    </w:p>
    <w:p>
      <w:pPr>
        <w:spacing w:after="60" w:before="60"/>
      </w:pPr>
    </w:p>
    <w:p>
      <w:pPr>
        <w:spacing w:after="60" w:before="60"/>
      </w:pPr>
      <w:r>
        <w:rPr>
          <w:rFonts w:ascii="Arial" w:cs="Arial" w:eastAsia="Arial" w:hAnsi="Arial"/>
          <w:sz w:val="22"/>
          <w:szCs w:val="22"/>
        </w:rPr>
        <w:t xml:space="preserve">The encryption module is designed to degrade gracefully when the encryption key is not configured. The getKey function validates that the ENCRYPTION_KEY environment variable is present, is exactly 64 characters long, and contains only hexadecimal characters. If any of these conditions fail, the function returns null.</w:t>
      </w:r>
    </w:p>
    <w:p>
      <w:pPr>
        <w:spacing w:after="60" w:before="60"/>
      </w:pPr>
    </w:p>
    <w:p>
      <w:pPr>
        <w:spacing w:after="60" w:before="60"/>
      </w:pPr>
      <w:r>
        <w:rPr>
          <w:rFonts w:ascii="Arial" w:cs="Arial" w:eastAsia="Arial" w:hAnsi="Arial"/>
          <w:sz w:val="22"/>
          <w:szCs w:val="22"/>
        </w:rPr>
        <w:t xml:space="preserve">When the encryption key is not available, the encrypt function returns the plaintext unchanged, and the decrypt function returns the ciphertext unchanged. This "legacy mode" ensures that the application continues to function during development or when encryption has not been configured, but it means that sensitive data is stored in plaintext. The isEncryptionAvailable function allows other parts of the application to check whether encryption is configured and potentially warn administrators if sensitive data is being stored without encryption.</w:t>
      </w:r>
    </w:p>
    <w:p>
      <w:pPr>
        <w:spacing w:after="60" w:before="60"/>
      </w:pPr>
    </w:p>
    <w:p>
      <w:pPr>
        <w:spacing w:after="60" w:before="60"/>
      </w:pPr>
      <w:r>
        <w:rPr>
          <w:rFonts w:ascii="Arial" w:cs="Arial" w:eastAsia="Arial" w:hAnsi="Arial"/>
          <w:sz w:val="22"/>
          <w:szCs w:val="22"/>
        </w:rPr>
        <w:t xml:space="preserve">The decrypt function also handles the case where data was stored in plaintext before encryption was enabled. If the ciphertext does not contain a colon (which is the separator between the IV and the encrypted data), the function assumes it is plaintext and returns it unchanged. This backward compatibility ensures a smooth migration path when encryption is first enabled on an existing database.</w:t>
      </w:r>
    </w:p>
    <w:p>
      <w:pPr>
        <w:spacing w:after="60" w:before="60"/>
      </w:pPr>
    </w:p>
    <w:p>
      <w:pPr>
        <w:pStyle w:val="Heading3"/>
        <w:spacing w:after="120" w:before="240"/>
      </w:pPr>
      <w:r>
        <w:rPr>
          <w:rFonts w:ascii="Arial" w:cs="Arial" w:eastAsia="Arial" w:hAnsi="Arial"/>
          <w:b/>
          <w:bCs/>
          <w:sz w:val="26"/>
          <w:szCs w:val="26"/>
        </w:rPr>
        <w:t xml:space="preserve">Binary Buffer Encryption</w:t>
      </w:r>
    </w:p>
    <w:p>
      <w:pPr>
        <w:spacing w:after="60" w:before="60"/>
      </w:pPr>
    </w:p>
    <w:p>
      <w:pPr>
        <w:spacing w:after="60" w:before="60"/>
      </w:pPr>
      <w:r>
        <w:rPr>
          <w:rFonts w:ascii="Arial" w:cs="Arial" w:eastAsia="Arial" w:hAnsi="Arial"/>
          <w:sz w:val="22"/>
          <w:szCs w:val="22"/>
        </w:rPr>
        <w:t xml:space="preserve">In addition to string encryption, the module provides encryptBuffer and decryptBuffer functions for encrypting binary data such as medical documents and uploaded files. The buffer encryption uses a slightly different format: the IV is prepended directly to the encrypted data as raw bytes, rather than being stored as a hexadecimal string. This is more efficient for binary data because it avoids the overhead of hex encoding.</w:t>
      </w:r>
    </w:p>
    <w:p>
      <w:pPr>
        <w:spacing w:after="60" w:before="60"/>
      </w:pPr>
    </w:p>
    <w:p>
      <w:pPr>
        <w:spacing w:after="60" w:before="60"/>
      </w:pPr>
      <w:r>
        <w:rPr>
          <w:rFonts w:ascii="Arial" w:cs="Arial" w:eastAsia="Arial" w:hAnsi="Arial"/>
          <w:sz w:val="22"/>
          <w:szCs w:val="22"/>
        </w:rPr>
        <w:t xml:space="preserve">The decryptBuffer function detects unencrypted legacy files by checking whether the buffer is shorter than the IV length (16 bytes). Buffers shorter than this cannot possibly contain a valid IV followed by encrypted data, so they are returned unchanged. This handles the case where files were stored before encryption was enabled.</w:t>
      </w:r>
    </w:p>
    <w:p>
      <w:pPr>
        <w:spacing w:after="60" w:before="60"/>
      </w:pPr>
    </w:p>
    <w:p>
      <w:pPr>
        <w:pStyle w:val="Heading3"/>
        <w:spacing w:after="120" w:before="240"/>
      </w:pPr>
      <w:r>
        <w:rPr>
          <w:rFonts w:ascii="Arial" w:cs="Arial" w:eastAsia="Arial" w:hAnsi="Arial"/>
          <w:b/>
          <w:bCs/>
          <w:sz w:val="26"/>
          <w:szCs w:val="26"/>
        </w:rPr>
        <w:t xml:space="preserve">Key Rotation Considerations</w:t>
      </w:r>
    </w:p>
    <w:p>
      <w:pPr>
        <w:spacing w:after="60" w:before="60"/>
      </w:pPr>
    </w:p>
    <w:p>
      <w:pPr>
        <w:spacing w:after="60" w:before="60"/>
      </w:pPr>
      <w:r>
        <w:rPr>
          <w:rFonts w:ascii="Arial" w:cs="Arial" w:eastAsia="Arial" w:hAnsi="Arial"/>
          <w:sz w:val="22"/>
          <w:szCs w:val="22"/>
        </w:rPr>
        <w:t xml:space="preserve">The current encryption implementation does not include built-in key rotation support. If the encryption key needs to be changed (for example, after a suspected key compromise or as part of a periodic security review), the process would require decrypting all encrypted data with the old key and re-encrypting it with the new key. This is a manual process that would need to be implemented as a database migration script.</w:t>
      </w:r>
    </w:p>
    <w:p>
      <w:pPr>
        <w:spacing w:after="60" w:before="60"/>
      </w:pPr>
    </w:p>
    <w:p>
      <w:pPr>
        <w:spacing w:after="60" w:before="60"/>
      </w:pPr>
      <w:r>
        <w:rPr>
          <w:rFonts w:ascii="Arial" w:cs="Arial" w:eastAsia="Arial" w:hAnsi="Arial"/>
          <w:sz w:val="22"/>
          <w:szCs w:val="22"/>
        </w:rPr>
        <w:t xml:space="preserve">A more robust approach would involve storing a key version identifier alongside the encrypted data, allowing the system to maintain multiple active keys simultaneously during a rotation period. This would allow gradual re-encryption of existing data while immediately using the new key for new encryption operations.</w:t>
      </w:r>
    </w:p>
    <w:p>
      <w:pPr>
        <w:spacing w:after="60" w:before="60"/>
      </w:pPr>
    </w:p>
    <w:p>
      <w:pPr>
        <w:pStyle w:val="Heading3"/>
        <w:spacing w:after="120" w:before="240"/>
      </w:pPr>
      <w:r>
        <w:rPr>
          <w:rFonts w:ascii="Arial" w:cs="Arial" w:eastAsia="Arial" w:hAnsi="Arial"/>
          <w:b/>
          <w:bCs/>
          <w:sz w:val="26"/>
          <w:szCs w:val="26"/>
        </w:rPr>
        <w:t xml:space="preserve">Database-Level Protections</w:t>
      </w:r>
    </w:p>
    <w:p>
      <w:pPr>
        <w:spacing w:after="60" w:before="60"/>
      </w:pPr>
    </w:p>
    <w:p>
      <w:pPr>
        <w:spacing w:after="60" w:before="60"/>
      </w:pPr>
      <w:r>
        <w:rPr>
          <w:rFonts w:ascii="Arial" w:cs="Arial" w:eastAsia="Arial" w:hAnsi="Arial"/>
          <w:sz w:val="22"/>
          <w:szCs w:val="22"/>
        </w:rPr>
        <w:t xml:space="preserve">Beyond field-level encryption, the database connection itself is secured through SSL/TLS when connecting to remote database servers. The database configuration in the codebase detects whether the connection is to a localhost or a remote server, and automatically enables SSL for remote connections with the rejectUnauthorized option set to false (which accepts self-signed certificates). For production deployments on Supabase or similar managed PostgreSQL services, the connection uses SSL by default, ensuring that data in transit between the application server and the database server is encrypted.</w:t>
      </w:r>
    </w:p>
    <w:p>
      <w:pPr>
        <w:spacing w:after="60" w:before="60"/>
      </w:pPr>
    </w:p>
    <w:p>
      <w:pPr>
        <w:pBdr>
          <w:bottom w:val="single" w:color="CCCCCC" w:sz="3" w:space="1"/>
        </w:pBdr>
        <w:spacing w:after="120" w:before="120"/>
      </w:pPr>
    </w:p>
    <w:p>
      <w:pPr>
        <w:spacing w:after="60" w:before="60"/>
      </w:pPr>
    </w:p>
    <w:p>
      <w:pPr>
        <w:pStyle w:val="Heading2"/>
        <w:spacing w:after="160" w:before="300"/>
      </w:pPr>
      <w:r>
        <w:rPr>
          <w:rFonts w:ascii="Arial" w:cs="Arial" w:eastAsia="Arial" w:hAnsi="Arial"/>
          <w:b/>
          <w:bCs/>
          <w:sz w:val="30"/>
          <w:szCs w:val="30"/>
        </w:rPr>
        <w:t xml:space="preserve">Part 6: Role-Based Access Control (RBAC)</w:t>
      </w:r>
    </w:p>
    <w:p>
      <w:pPr>
        <w:spacing w:after="60" w:before="60"/>
      </w:pPr>
    </w:p>
    <w:p>
      <w:pPr>
        <w:pStyle w:val="Heading3"/>
        <w:spacing w:after="120" w:before="240"/>
      </w:pPr>
      <w:r>
        <w:rPr>
          <w:rFonts w:ascii="Arial" w:cs="Arial" w:eastAsia="Arial" w:hAnsi="Arial"/>
          <w:b/>
          <w:bCs/>
          <w:sz w:val="26"/>
          <w:szCs w:val="26"/>
        </w:rPr>
        <w:t xml:space="preserve">Admin User Roles and the Permission Model</w:t>
      </w:r>
    </w:p>
    <w:p>
      <w:pPr>
        <w:spacing w:after="60" w:before="60"/>
      </w:pPr>
    </w:p>
    <w:p>
      <w:pPr>
        <w:spacing w:after="60" w:before="60"/>
      </w:pPr>
      <w:r>
        <w:rPr>
          <w:rFonts w:ascii="Arial" w:cs="Arial" w:eastAsia="Arial" w:hAnsi="Arial"/>
          <w:sz w:val="22"/>
          <w:szCs w:val="22"/>
        </w:rPr>
        <w:t xml:space="preserve">The admin authentication system defines a role-based access control model with at least two distinct role levels: super_admin and a default admin role that could also be called "support" or "regular" admin. The role is stored as a field on the admin_users table and is returned as part of the admin profile when a session is validated.</w:t>
      </w:r>
    </w:p>
    <w:p>
      <w:pPr>
        <w:spacing w:after="60" w:before="60"/>
      </w:pPr>
    </w:p>
    <w:p>
      <w:pPr>
        <w:spacing w:after="60" w:before="60"/>
      </w:pPr>
      <w:r>
        <w:rPr>
          <w:rFonts w:ascii="Arial" w:cs="Arial" w:eastAsia="Arial" w:hAnsi="Arial"/>
          <w:sz w:val="22"/>
          <w:szCs w:val="22"/>
        </w:rPr>
        <w:t xml:space="preserve">The super_admin role has unrestricted access to all admin functionality, including sensitive operations like user management, system configuration, and NEXUS settings. The regular admin role has access to most operational features but may be restricted from certain administrative functions.</w:t>
      </w:r>
    </w:p>
    <w:p>
      <w:pPr>
        <w:spacing w:after="60" w:before="60"/>
      </w:pPr>
    </w:p>
    <w:p>
      <w:pPr>
        <w:spacing w:after="60" w:before="60"/>
      </w:pPr>
      <w:r>
        <w:rPr>
          <w:rFonts w:ascii="Arial" w:cs="Arial" w:eastAsia="Arial" w:hAnsi="Arial"/>
          <w:sz w:val="22"/>
          <w:szCs w:val="22"/>
        </w:rPr>
        <w:t xml:space="preserve">The role enforcement is implemented through two middleware functions in adminRoutes.ts. The requireAdmin middleware checks that the request has a valid, non-expired session and that the admin user is active. This middleware is applied to all admin routes as a baseline access control. The requireSuperAdmin middleware is an additional check that runs after requireAdmin and verifies that the authenticated admin has the super_admin role. If the role does not match, the request is rejected with a 403 Forbidden status. This middleware is applied to sensitive endpoints that should only be accessible to super administrators.</w:t>
      </w:r>
    </w:p>
    <w:p>
      <w:pPr>
        <w:spacing w:after="60" w:before="60"/>
      </w:pPr>
    </w:p>
    <w:p>
      <w:pPr>
        <w:pStyle w:val="Heading3"/>
        <w:spacing w:after="120" w:before="240"/>
      </w:pPr>
      <w:r>
        <w:rPr>
          <w:rFonts w:ascii="Arial" w:cs="Arial" w:eastAsia="Arial" w:hAnsi="Arial"/>
          <w:b/>
          <w:bCs/>
          <w:sz w:val="26"/>
          <w:szCs w:val="26"/>
        </w:rPr>
        <w:t xml:space="preserve">How Admin Routes Are Protected</w:t>
      </w:r>
    </w:p>
    <w:p>
      <w:pPr>
        <w:spacing w:after="60" w:before="60"/>
      </w:pPr>
    </w:p>
    <w:p>
      <w:pPr>
        <w:spacing w:after="60" w:before="60"/>
      </w:pPr>
      <w:r>
        <w:rPr>
          <w:rFonts w:ascii="Arial" w:cs="Arial" w:eastAsia="Arial" w:hAnsi="Arial"/>
          <w:sz w:val="22"/>
          <w:szCs w:val="22"/>
        </w:rPr>
        <w:t xml:space="preserve">All admin API routes are mounted under the /api/admin path prefix, and the admin Router is used as middleware for this prefix. The route structure ensures that every request to an admin endpoint first passes through the Express middleware stack (security headers, CORS, rate limiting) and then through the admin authentication middleware before reaching the route handler.</w:t>
      </w:r>
    </w:p>
    <w:p>
      <w:pPr>
        <w:spacing w:after="60" w:before="60"/>
      </w:pPr>
    </w:p>
    <w:p>
      <w:pPr>
        <w:spacing w:after="60" w:before="60"/>
      </w:pPr>
      <w:r>
        <w:rPr>
          <w:rFonts w:ascii="Arial" w:cs="Arial" w:eastAsia="Arial" w:hAnsi="Arial"/>
          <w:sz w:val="22"/>
          <w:szCs w:val="22"/>
        </w:rPr>
        <w:t xml:space="preserve">Some routes have additional role requirements. For example, user management endpoints that allow creating, modifying, or deleting admin users are protected by requireSuperAdmin. NEXUS settings endpoints that control department configurations, automation rules, and system templates are protected by requireAdmin with additional checks in the route handlers.</w:t>
      </w:r>
    </w:p>
    <w:p>
      <w:pPr>
        <w:spacing w:after="60" w:before="60"/>
      </w:pPr>
    </w:p>
    <w:p>
      <w:pPr>
        <w:spacing w:after="60" w:before="60"/>
      </w:pPr>
      <w:r>
        <w:rPr>
          <w:rFonts w:ascii="Arial" w:cs="Arial" w:eastAsia="Arial" w:hAnsi="Arial"/>
          <w:sz w:val="22"/>
          <w:szCs w:val="22"/>
        </w:rPr>
        <w:t xml:space="preserve">The navigation menu endpoint (/navigation-menu) demonstrates how the role system integrates with the admin UI. When an admin user logs in, the client requests the navigation menu, and the server returns a role-appropriate set of menu items via the getNavigationForRole function. This means that regular admins see a simplified navigation that only includes the features they can access, while super admins see the full navigation including system administration sections.</w:t>
      </w:r>
    </w:p>
    <w:p>
      <w:pPr>
        <w:spacing w:after="60" w:before="60"/>
      </w:pPr>
    </w:p>
    <w:p>
      <w:pPr>
        <w:pStyle w:val="Heading3"/>
        <w:spacing w:after="120" w:before="240"/>
      </w:pPr>
      <w:r>
        <w:rPr>
          <w:rFonts w:ascii="Arial" w:cs="Arial" w:eastAsia="Arial" w:hAnsi="Arial"/>
          <w:b/>
          <w:bCs/>
          <w:sz w:val="26"/>
          <w:szCs w:val="26"/>
        </w:rPr>
        <w:t xml:space="preserve">NEXUS-Specific Permissions</w:t>
      </w:r>
    </w:p>
    <w:p>
      <w:pPr>
        <w:spacing w:after="60" w:before="60"/>
      </w:pPr>
    </w:p>
    <w:p>
      <w:pPr>
        <w:spacing w:after="60" w:before="60"/>
      </w:pPr>
      <w:r>
        <w:rPr>
          <w:rFonts w:ascii="Arial" w:cs="Arial" w:eastAsia="Arial" w:hAnsi="Arial"/>
          <w:sz w:val="22"/>
          <w:szCs w:val="22"/>
        </w:rPr>
        <w:t xml:space="preserve">Within the NEXUS system, permission enforcement is implemented at the route handler level rather than through a separate permission framework. The nexusSettingsRoutes module protects mutation endpoints (POST, PATCH, DELETE) by calling getAdminFromRequest and checking the result. Read endpoints (GET) are generally accessible to any authenticated admin, while write endpoints require admin authentication.</w:t>
      </w:r>
    </w:p>
    <w:p>
      <w:pPr>
        <w:spacing w:after="60" w:before="60"/>
      </w:pPr>
    </w:p>
    <w:p>
      <w:pPr>
        <w:spacing w:after="60" w:before="60"/>
      </w:pPr>
      <w:r>
        <w:rPr>
          <w:rFonts w:ascii="Arial" w:cs="Arial" w:eastAsia="Arial" w:hAnsi="Arial"/>
          <w:sz w:val="22"/>
          <w:szCs w:val="22"/>
        </w:rPr>
        <w:t xml:space="preserve">This approach means that any authenticated admin can modify NEXUS settings, which may not be appropriate in larger organizations where NEXUS configuration should be restricted to a smaller group. Future enhancements could add a nexus_admin permission or a dedicated NEXUS role to provide more granular access control.</w:t>
      </w:r>
    </w:p>
    <w:p>
      <w:pPr>
        <w:spacing w:after="60" w:before="60"/>
      </w:pPr>
    </w:p>
    <w:p>
      <w:pPr>
        <w:pStyle w:val="Heading3"/>
        <w:spacing w:after="120" w:before="240"/>
      </w:pPr>
      <w:r>
        <w:rPr>
          <w:rFonts w:ascii="Arial" w:cs="Arial" w:eastAsia="Arial" w:hAnsi="Arial"/>
          <w:b/>
          <w:bCs/>
          <w:sz w:val="26"/>
          <w:szCs w:val="26"/>
        </w:rPr>
        <w:t xml:space="preserve">Bot API Permissions vs Admin Permissions</w:t>
      </w:r>
    </w:p>
    <w:p>
      <w:pPr>
        <w:spacing w:after="60" w:before="60"/>
      </w:pPr>
    </w:p>
    <w:p>
      <w:pPr>
        <w:spacing w:after="60" w:before="60"/>
      </w:pPr>
      <w:r>
        <w:rPr>
          <w:rFonts w:ascii="Arial" w:cs="Arial" w:eastAsia="Arial" w:hAnsi="Arial"/>
          <w:sz w:val="22"/>
          <w:szCs w:val="22"/>
        </w:rPr>
        <w:t xml:space="preserve">The Bot API operates entirely outside the admin permission system. It uses its own API key for authentication and does not check admin roles or sessions. This separation is intentional because the Bot API is designed to be called by automated tools (primarily Claude Code) that do not have admin accounts and should not need to maintain session cookies.</w:t>
      </w:r>
    </w:p>
    <w:p>
      <w:pPr>
        <w:spacing w:after="60" w:before="60"/>
      </w:pPr>
    </w:p>
    <w:p>
      <w:pPr>
        <w:spacing w:after="60" w:before="60"/>
      </w:pPr>
      <w:r>
        <w:rPr>
          <w:rFonts w:ascii="Arial" w:cs="Arial" w:eastAsia="Arial" w:hAnsi="Arial"/>
          <w:sz w:val="22"/>
          <w:szCs w:val="22"/>
        </w:rPr>
        <w:t xml:space="preserve">The Bot API's permissions are implicitly limited by the narrow scope of its functionality: it can only move tasks between kanban columns. It cannot create tasks, delete tasks, modify task content, or access any other admin functionality. This principle of least privilege ensures that even if the Bot API key is compromised, the damage is limited to task status changes.</w:t>
      </w:r>
    </w:p>
    <w:p>
      <w:pPr>
        <w:spacing w:after="60" w:before="60"/>
      </w:pPr>
    </w:p>
    <w:p>
      <w:pPr>
        <w:pBdr>
          <w:bottom w:val="single" w:color="CCCCCC" w:sz="3" w:space="1"/>
        </w:pBdr>
        <w:spacing w:after="120" w:before="120"/>
      </w:pPr>
    </w:p>
    <w:p>
      <w:pPr>
        <w:spacing w:after="60" w:before="60"/>
      </w:pPr>
    </w:p>
    <w:p>
      <w:pPr>
        <w:pStyle w:val="Heading2"/>
        <w:spacing w:after="160" w:before="300"/>
      </w:pPr>
      <w:r>
        <w:rPr>
          <w:rFonts w:ascii="Arial" w:cs="Arial" w:eastAsia="Arial" w:hAnsi="Arial"/>
          <w:b/>
          <w:bCs/>
          <w:sz w:val="30"/>
          <w:szCs w:val="30"/>
        </w:rPr>
        <w:t xml:space="preserve">Part 7: External Service Integrations</w:t>
      </w:r>
    </w:p>
    <w:p>
      <w:pPr>
        <w:spacing w:after="60" w:before="60"/>
      </w:pPr>
    </w:p>
    <w:p>
      <w:pPr>
        <w:pStyle w:val="Heading3"/>
        <w:spacing w:after="120" w:before="240"/>
      </w:pPr>
      <w:r>
        <w:rPr>
          <w:rFonts w:ascii="Arial" w:cs="Arial" w:eastAsia="Arial" w:hAnsi="Arial"/>
          <w:b/>
          <w:bCs/>
          <w:sz w:val="26"/>
          <w:szCs w:val="26"/>
        </w:rPr>
        <w:t xml:space="preserve">Anthropic (Claude) — The Primary AI Provider</w:t>
      </w:r>
    </w:p>
    <w:p>
      <w:pPr>
        <w:spacing w:after="60" w:before="60"/>
      </w:pPr>
    </w:p>
    <w:p>
      <w:pPr>
        <w:spacing w:after="60" w:before="60"/>
      </w:pPr>
      <w:r>
        <w:rPr>
          <w:rFonts w:ascii="Arial" w:cs="Arial" w:eastAsia="Arial" w:hAnsi="Arial"/>
          <w:sz w:val="22"/>
          <w:szCs w:val="22"/>
        </w:rPr>
        <w:t xml:space="preserve">Claude is the primary and preferred AI provider for NEXUS, used for the majority of AI-powered operations across the platform. The integration is configured through the ANTHROPIC_API_KEY environment variable and is implemented using the official Anthropic SDK for TypeScript.</w:t>
      </w:r>
    </w:p>
    <w:p>
      <w:pPr>
        <w:spacing w:after="60" w:before="60"/>
      </w:pPr>
    </w:p>
    <w:p>
      <w:pPr>
        <w:spacing w:after="60" w:before="60"/>
      </w:pPr>
      <w:r>
        <w:rPr>
          <w:rFonts w:ascii="Arial" w:cs="Arial" w:eastAsia="Arial" w:hAnsi="Arial"/>
          <w:sz w:val="22"/>
          <w:szCs w:val="22"/>
        </w:rPr>
        <w:t xml:space="preserve">NEXUS uses two Claude models: Claude Sonnet 4.6 (the constant CLAUDE_SONNET in the codebase) serves as the workhorse model for deep analysis, department research, task extraction, document generation, code analysis, and feature planning. Claude Haiku 4.5 (the constant CLAUDE_HAIKU) is available as a faster and cheaper option for simpler tasks, though the current routing map primarily uses Sonnet.</w:t>
      </w:r>
    </w:p>
    <w:p>
      <w:pPr>
        <w:spacing w:after="60" w:before="60"/>
      </w:pPr>
    </w:p>
    <w:p>
      <w:pPr>
        <w:spacing w:after="60" w:before="60"/>
      </w:pPr>
      <w:r>
        <w:rPr>
          <w:rFonts w:ascii="Arial" w:cs="Arial" w:eastAsia="Arial" w:hAnsi="Arial"/>
          <w:sz w:val="22"/>
          <w:szCs w:val="22"/>
        </w:rPr>
        <w:t xml:space="preserve">The model router assigns Claude as the primary provider for most use cases: departmentAnalysis (deep structured Hebrew analysis), taskExtraction (structured JSON output), docGeneration (technical documents), medicalAnalysis (vision plus Hebrew support), codeAnalysis (code understanding), analyzePhase (deep reasoning), featurePlanning (structured output), projectHealthCheck (comprehensive view), and askQuestion (general Q&amp;A). This reflects Claude's strengths in structured reasoning, Hebrew language support, and long-context analysis.</w:t>
      </w:r>
    </w:p>
    <w:p>
      <w:pPr>
        <w:spacing w:after="60" w:before="60"/>
      </w:pPr>
    </w:p>
    <w:p>
      <w:pPr>
        <w:spacing w:after="60" w:before="60"/>
      </w:pPr>
      <w:r>
        <w:rPr>
          <w:rFonts w:ascii="Arial" w:cs="Arial" w:eastAsia="Arial" w:hAnsi="Arial"/>
          <w:sz w:val="22"/>
          <w:szCs w:val="22"/>
        </w:rPr>
        <w:t xml:space="preserve">When Claude is unavailable (API key missing, quota exceeded, or service error), the system falls back to alternative providers. The fallback chain is defined per use case in the model router: for department analysis, the fallback is Gemini 3.1 Pro; for quality checks, the fallback is GPT-4o (which provides a diverse second opinion); for smart title generation, the fallback is Claude itself (with Gemini Flash as primary for speed).</w:t>
      </w:r>
    </w:p>
    <w:p>
      <w:pPr>
        <w:spacing w:after="60" w:before="60"/>
      </w:pPr>
    </w:p>
    <w:p>
      <w:pPr>
        <w:spacing w:after="60" w:before="60"/>
      </w:pPr>
      <w:r>
        <w:rPr>
          <w:rFonts w:ascii="Arial" w:cs="Arial" w:eastAsia="Arial" w:hAnsi="Arial"/>
          <w:sz w:val="22"/>
          <w:szCs w:val="22"/>
        </w:rPr>
        <w:t xml:space="preserve">The pricing for Claude Sonnet 4.6 is maintained in the PRICING constant: three dollars per million input tokens and fifteen dollars per million output tokens. For Claude Haiku 4.5, the pricing is one dollar per million input tokens and five dollars per million output tokens. These costs are tracked per API call in the ai_usage table.</w:t>
      </w:r>
    </w:p>
    <w:p>
      <w:pPr>
        <w:spacing w:after="60" w:before="60"/>
      </w:pPr>
    </w:p>
    <w:p>
      <w:pPr>
        <w:pStyle w:val="Heading3"/>
        <w:spacing w:after="120" w:before="240"/>
      </w:pPr>
      <w:r>
        <w:rPr>
          <w:rFonts w:ascii="Arial" w:cs="Arial" w:eastAsia="Arial" w:hAnsi="Arial"/>
          <w:b/>
          <w:bCs/>
          <w:sz w:val="26"/>
          <w:szCs w:val="26"/>
        </w:rPr>
        <w:t xml:space="preserve">OpenAI (GPT-4o) — Fallback and Quality Check Provider</w:t>
      </w:r>
    </w:p>
    <w:p>
      <w:pPr>
        <w:spacing w:after="60" w:before="60"/>
      </w:pPr>
    </w:p>
    <w:p>
      <w:pPr>
        <w:spacing w:after="60" w:before="60"/>
      </w:pPr>
      <w:r>
        <w:rPr>
          <w:rFonts w:ascii="Arial" w:cs="Arial" w:eastAsia="Arial" w:hAnsi="Arial"/>
          <w:sz w:val="22"/>
          <w:szCs w:val="22"/>
        </w:rPr>
        <w:t xml:space="preserve">OpenAI's GPT-4o model serves a dual role in the NEXUS architecture: it provides fallback capability when Claude is unavailable, and it serves as the primary model for quality checks where a diverse second opinion is valuable.</w:t>
      </w:r>
    </w:p>
    <w:p>
      <w:pPr>
        <w:spacing w:after="60" w:before="60"/>
      </w:pPr>
    </w:p>
    <w:p>
      <w:pPr>
        <w:spacing w:after="60" w:before="60"/>
      </w:pPr>
      <w:r>
        <w:rPr>
          <w:rFonts w:ascii="Arial" w:cs="Arial" w:eastAsia="Arial" w:hAnsi="Arial"/>
          <w:sz w:val="22"/>
          <w:szCs w:val="22"/>
        </w:rPr>
        <w:t xml:space="preserve">The integration is configured through the OPENAI_API_KEY environment variable and uses the official OpenAI SDK for TypeScript. The system calls GPT-4o with a maximum of 16,384 output tokens and the same temperature setting used for the primary model.</w:t>
      </w:r>
    </w:p>
    <w:p>
      <w:pPr>
        <w:spacing w:after="60" w:before="60"/>
      </w:pPr>
    </w:p>
    <w:p>
      <w:pPr>
        <w:spacing w:after="60" w:before="60"/>
      </w:pPr>
      <w:r>
        <w:rPr>
          <w:rFonts w:ascii="Arial" w:cs="Arial" w:eastAsia="Arial" w:hAnsi="Arial"/>
          <w:sz w:val="22"/>
          <w:szCs w:val="22"/>
        </w:rPr>
        <w:t xml:space="preserve">The model router assigns GPT-4o as the primary provider for the qualityCheck use case, with Claude as the fallback. This assignment is deliberate: when checking the quality of output that was likely generated by Claude, using a different model family provides a genuinely independent perspective. GPT-4o is also the fallback provider for briefSummary (after Gemini Flash) and projectHealthCheck (after Claude).</w:t>
      </w:r>
    </w:p>
    <w:p>
      <w:pPr>
        <w:spacing w:after="60" w:before="60"/>
      </w:pPr>
    </w:p>
    <w:p>
      <w:pPr>
        <w:spacing w:after="60" w:before="60"/>
      </w:pPr>
      <w:r>
        <w:rPr>
          <w:rFonts w:ascii="Arial" w:cs="Arial" w:eastAsia="Arial" w:hAnsi="Arial"/>
          <w:sz w:val="22"/>
          <w:szCs w:val="22"/>
        </w:rPr>
        <w:t xml:space="preserve">GPT-4o pricing is maintained at two dollars and fifty cents per million input tokens and ten dollars per million output tokens. The OpenAI integration also supports multimodal input through the buildOpenAIContent function, which converts attachments (images and documents) into the format expected by the OpenAI API.</w:t>
      </w:r>
    </w:p>
    <w:p>
      <w:pPr>
        <w:spacing w:after="60" w:before="60"/>
      </w:pPr>
    </w:p>
    <w:p>
      <w:pPr>
        <w:spacing w:after="60" w:before="60"/>
      </w:pPr>
      <w:r>
        <w:rPr>
          <w:rFonts w:ascii="Arial" w:cs="Arial" w:eastAsia="Arial" w:hAnsi="Arial"/>
          <w:sz w:val="22"/>
          <w:szCs w:val="22"/>
        </w:rPr>
        <w:t xml:space="preserve">If the OpenAI API key is not configured or the service is unavailable, the system continues to the next provider in the fallback chain. OpenAI failures do not block the NEXUS pipeline; they simply result in the next available provider being used instead.</w:t>
      </w:r>
    </w:p>
    <w:p>
      <w:pPr>
        <w:spacing w:after="60" w:before="60"/>
      </w:pPr>
    </w:p>
    <w:p>
      <w:pPr>
        <w:pStyle w:val="Heading3"/>
        <w:spacing w:after="120" w:before="240"/>
      </w:pPr>
      <w:r>
        <w:rPr>
          <w:rFonts w:ascii="Arial" w:cs="Arial" w:eastAsia="Arial" w:hAnsi="Arial"/>
          <w:b/>
          <w:bCs/>
          <w:sz w:val="26"/>
          <w:szCs w:val="26"/>
        </w:rPr>
        <w:t xml:space="preserve">Google (Gemini) — Fast, Affordable, and Deep Options</w:t>
      </w:r>
    </w:p>
    <w:p>
      <w:pPr>
        <w:spacing w:after="60" w:before="60"/>
      </w:pPr>
    </w:p>
    <w:p>
      <w:pPr>
        <w:spacing w:after="60" w:before="60"/>
      </w:pPr>
      <w:r>
        <w:rPr>
          <w:rFonts w:ascii="Arial" w:cs="Arial" w:eastAsia="Arial" w:hAnsi="Arial"/>
          <w:sz w:val="22"/>
          <w:szCs w:val="22"/>
        </w:rPr>
        <w:t xml:space="preserve">Google's Gemini AI family provides two distinct models in the NEXUS ecosystem, each serving a different purpose. Gemini 2.5 Flash is the fast, affordable option used for tasks where speed and cost-efficiency matter more than depth. Gemini 3.1 Pro Preview is the deep analysis option that approaches Claude's quality for structured reasoning tasks.</w:t>
      </w:r>
    </w:p>
    <w:p>
      <w:pPr>
        <w:spacing w:after="60" w:before="60"/>
      </w:pPr>
    </w:p>
    <w:p>
      <w:pPr>
        <w:spacing w:after="60" w:before="60"/>
      </w:pPr>
      <w:r>
        <w:rPr>
          <w:rFonts w:ascii="Arial" w:cs="Arial" w:eastAsia="Arial" w:hAnsi="Arial"/>
          <w:sz w:val="22"/>
          <w:szCs w:val="22"/>
        </w:rPr>
        <w:t xml:space="preserve">Both models are configured through the GOOGLE_GENERATIVE_AI_API_KEY environment variable (with GEMINI_API_KEY as a fallback). They use the Google GenAI SDK with the generateContent API.</w:t>
      </w:r>
    </w:p>
    <w:p>
      <w:pPr>
        <w:spacing w:after="60" w:before="60"/>
      </w:pPr>
    </w:p>
    <w:p>
      <w:pPr>
        <w:spacing w:after="60" w:before="60"/>
      </w:pPr>
      <w:r>
        <w:rPr>
          <w:rFonts w:ascii="Arial" w:cs="Arial" w:eastAsia="Arial" w:hAnsi="Arial"/>
          <w:sz w:val="22"/>
          <w:szCs w:val="22"/>
        </w:rPr>
        <w:t xml:space="preserve">Gemini 2.5 Flash is the primary provider for smartTitle (fast, cheap title generation) and briefSummary (fast summarization). Its pricing is remarkably low: thirty cents per million input tokens and two dollars fifty cents per million output tokens, making it roughly ten times cheaper than Claude for input and six times cheaper for output. This makes it ideal for high-volume, lower-stakes tasks where speed matters.</w:t>
      </w:r>
    </w:p>
    <w:p>
      <w:pPr>
        <w:spacing w:after="60" w:before="60"/>
      </w:pPr>
    </w:p>
    <w:p>
      <w:pPr>
        <w:spacing w:after="60" w:before="60"/>
      </w:pPr>
      <w:r>
        <w:rPr>
          <w:rFonts w:ascii="Arial" w:cs="Arial" w:eastAsia="Arial" w:hAnsi="Arial"/>
          <w:sz w:val="22"/>
          <w:szCs w:val="22"/>
        </w:rPr>
        <w:t xml:space="preserve">Gemini 3.1 Pro Preview serves as the fallback for most Claude-primary use cases: departmentAnalysis, taskExtraction, docGeneration, codeAnalysis, analyzePhase, and featurePlanning. Its pricing is two dollars per million input tokens and twelve dollars per million output tokens, which is comparable to GPT-4o. The "preview" designation indicates this is a newer model that may still be evolving.</w:t>
      </w:r>
    </w:p>
    <w:p>
      <w:pPr>
        <w:spacing w:after="60" w:before="60"/>
      </w:pPr>
    </w:p>
    <w:p>
      <w:pPr>
        <w:spacing w:after="60" w:before="60"/>
      </w:pPr>
      <w:r>
        <w:rPr>
          <w:rFonts w:ascii="Arial" w:cs="Arial" w:eastAsia="Arial" w:hAnsi="Arial"/>
          <w:sz w:val="22"/>
          <w:szCs w:val="22"/>
        </w:rPr>
        <w:t xml:space="preserve">The Gemini integration handles the provider's different API format by concatenating system and user messages into a single prompt string, since the Gemini API does not natively support the system/user message distinction that Claude and OpenAI use.</w:t>
      </w:r>
    </w:p>
    <w:p>
      <w:pPr>
        <w:spacing w:after="60" w:before="60"/>
      </w:pPr>
    </w:p>
    <w:p>
      <w:pPr>
        <w:pStyle w:val="Heading3"/>
        <w:spacing w:after="120" w:before="240"/>
      </w:pPr>
      <w:r>
        <w:rPr>
          <w:rFonts w:ascii="Arial" w:cs="Arial" w:eastAsia="Arial" w:hAnsi="Arial"/>
          <w:b/>
          <w:bCs/>
          <w:sz w:val="26"/>
          <w:szCs w:val="26"/>
        </w:rPr>
        <w:t xml:space="preserve">Perplexity — Web Research with Citations</w:t>
      </w:r>
    </w:p>
    <w:p>
      <w:pPr>
        <w:spacing w:after="60" w:before="60"/>
      </w:pPr>
    </w:p>
    <w:p>
      <w:pPr>
        <w:spacing w:after="60" w:before="60"/>
      </w:pPr>
      <w:r>
        <w:rPr>
          <w:rFonts w:ascii="Arial" w:cs="Arial" w:eastAsia="Arial" w:hAnsi="Arial"/>
          <w:sz w:val="22"/>
          <w:szCs w:val="22"/>
        </w:rPr>
        <w:t xml:space="preserve">Perplexity is unique among the NEXUS AI providers because it has live internet access. While Claude, GPT-4o, and Gemini operate on their training data, Perplexity's Sonar model can search the web in real-time and return results with citations. This makes it the ideal provider for the webResearch use case.</w:t>
      </w:r>
    </w:p>
    <w:p>
      <w:pPr>
        <w:spacing w:after="60" w:before="60"/>
      </w:pPr>
    </w:p>
    <w:p>
      <w:pPr>
        <w:spacing w:after="60" w:before="60"/>
      </w:pPr>
      <w:r>
        <w:rPr>
          <w:rFonts w:ascii="Arial" w:cs="Arial" w:eastAsia="Arial" w:hAnsi="Arial"/>
          <w:sz w:val="22"/>
          <w:szCs w:val="22"/>
        </w:rPr>
        <w:t xml:space="preserve">The integration is configured through the PERPLEXITY_API_KEY environment variable and uses a direct fetch call to the Perplexity API endpoint (https://api.perplexity.ai/chat/completions). The API follows the OpenAI-compatible chat completions format, making it straightforward to integrate.</w:t>
      </w:r>
    </w:p>
    <w:p>
      <w:pPr>
        <w:spacing w:after="60" w:before="60"/>
      </w:pPr>
    </w:p>
    <w:p>
      <w:pPr>
        <w:spacing w:after="60" w:before="60"/>
      </w:pPr>
      <w:r>
        <w:rPr>
          <w:rFonts w:ascii="Arial" w:cs="Arial" w:eastAsia="Arial" w:hAnsi="Arial"/>
          <w:sz w:val="22"/>
          <w:szCs w:val="22"/>
        </w:rPr>
        <w:t xml:space="preserve">NEXUS uses Perplexity primarily during the web intelligence gathering phase of the research pipeline. The system sends five focused queries to Perplexity, each targeting different aspects of the research topic (general overview, technical alternatives, community sentiment, competitive landscape, and best practices). The Sonar model processes these queries and returns results that include citations to the web sources it consulted.</w:t>
      </w:r>
    </w:p>
    <w:p>
      <w:pPr>
        <w:spacing w:after="60" w:before="60"/>
      </w:pPr>
    </w:p>
    <w:p>
      <w:pPr>
        <w:spacing w:after="60" w:before="60"/>
      </w:pPr>
      <w:r>
        <w:rPr>
          <w:rFonts w:ascii="Arial" w:cs="Arial" w:eastAsia="Arial" w:hAnsi="Arial"/>
          <w:sz w:val="22"/>
          <w:szCs w:val="22"/>
        </w:rPr>
        <w:t xml:space="preserve">Perplexity pricing is the simplest among all providers: one dollar per million input tokens and one dollar per million output tokens. The fallback for web research when Perplexity is unavailable is Gemini, which lacks live internet access but can still provide analysis based on its training data.</w:t>
      </w:r>
    </w:p>
    <w:p>
      <w:pPr>
        <w:spacing w:after="60" w:before="60"/>
      </w:pPr>
    </w:p>
    <w:p>
      <w:pPr>
        <w:pStyle w:val="Heading3"/>
        <w:spacing w:after="120" w:before="240"/>
      </w:pPr>
      <w:r>
        <w:rPr>
          <w:rFonts w:ascii="Arial" w:cs="Arial" w:eastAsia="Arial" w:hAnsi="Arial"/>
          <w:b/>
          <w:bCs/>
          <w:sz w:val="26"/>
          <w:szCs w:val="26"/>
        </w:rPr>
        <w:t xml:space="preserve">Resend — Email Service for Invitations</w:t>
      </w:r>
    </w:p>
    <w:p>
      <w:pPr>
        <w:spacing w:after="60" w:before="60"/>
      </w:pPr>
    </w:p>
    <w:p>
      <w:pPr>
        <w:spacing w:after="60" w:before="60"/>
      </w:pPr>
      <w:r>
        <w:rPr>
          <w:rFonts w:ascii="Arial" w:cs="Arial" w:eastAsia="Arial" w:hAnsi="Arial"/>
          <w:sz w:val="22"/>
          <w:szCs w:val="22"/>
        </w:rPr>
        <w:t xml:space="preserve">Resend is the email delivery service used by MemorAid for sending invitation emails when new family members are added to a patient's care team. The integration is configured through two environment variables: RESEND_API_KEY for authentication and RESEND_FROM for the sender address (with a default of "onboarding@resend.dev" if not set).</w:t>
      </w:r>
    </w:p>
    <w:p>
      <w:pPr>
        <w:spacing w:after="60" w:before="60"/>
      </w:pPr>
    </w:p>
    <w:p>
      <w:pPr>
        <w:spacing w:after="60" w:before="60"/>
      </w:pPr>
      <w:r>
        <w:rPr>
          <w:rFonts w:ascii="Arial" w:cs="Arial" w:eastAsia="Arial" w:hAnsi="Arial"/>
          <w:sz w:val="22"/>
          <w:szCs w:val="22"/>
        </w:rPr>
        <w:t xml:space="preserve">Resend is not directly involved in the NEXUS pipeline, but it supports the broader MemorAid platform that NEXUS helps develop. The email service is optional; if the API key is not configured, invitation features are disabled rather than causing errors.</w:t>
      </w:r>
    </w:p>
    <w:p>
      <w:pPr>
        <w:spacing w:after="60" w:before="60"/>
      </w:pPr>
    </w:p>
    <w:p>
      <w:pPr>
        <w:pStyle w:val="Heading3"/>
        <w:spacing w:after="120" w:before="240"/>
      </w:pPr>
      <w:r>
        <w:rPr>
          <w:rFonts w:ascii="Arial" w:cs="Arial" w:eastAsia="Arial" w:hAnsi="Arial"/>
          <w:b/>
          <w:bCs/>
          <w:sz w:val="26"/>
          <w:szCs w:val="26"/>
        </w:rPr>
        <w:t xml:space="preserve">Google Calendar — Task Sync Integration</w:t>
      </w:r>
    </w:p>
    <w:p>
      <w:pPr>
        <w:spacing w:after="60" w:before="60"/>
      </w:pPr>
    </w:p>
    <w:p>
      <w:pPr>
        <w:spacing w:after="60" w:before="60"/>
      </w:pPr>
      <w:r>
        <w:rPr>
          <w:rFonts w:ascii="Arial" w:cs="Arial" w:eastAsia="Arial" w:hAnsi="Arial"/>
          <w:sz w:val="22"/>
          <w:szCs w:val="22"/>
        </w:rPr>
        <w:t xml:space="preserve">Google Calendar integration allows MemorAid to synchronize tasks and appointments with family members' Google Calendars. This integration requires OAuth 2.0 authentication, configured through the GOOGLE_CALENDAR_CLIENT_ID and GOOGLE_CALENDAR_CLIENT_SECRET environment variables.</w:t>
      </w:r>
    </w:p>
    <w:p>
      <w:pPr>
        <w:spacing w:after="60" w:before="60"/>
      </w:pPr>
    </w:p>
    <w:p>
      <w:pPr>
        <w:spacing w:after="60" w:before="60"/>
      </w:pPr>
      <w:r>
        <w:rPr>
          <w:rFonts w:ascii="Arial" w:cs="Arial" w:eastAsia="Arial" w:hAnsi="Arial"/>
          <w:sz w:val="22"/>
          <w:szCs w:val="22"/>
        </w:rPr>
        <w:t xml:space="preserve">The OAuth flow requires careful configuration of authorized JavaScript origins and redirect URIs in the Google Cloud Console. The .env.example file documents the specific URLs that must be configured: the JavaScript origin should be the application's base URL (e.g., http://localhost:5173 for development), and the redirect URIs should point to the application's OAuth callback endpoints.</w:t>
      </w:r>
    </w:p>
    <w:p>
      <w:pPr>
        <w:spacing w:after="60" w:before="60"/>
      </w:pPr>
    </w:p>
    <w:p>
      <w:pPr>
        <w:spacing w:after="60" w:before="60"/>
      </w:pPr>
      <w:r>
        <w:rPr>
          <w:rFonts w:ascii="Arial" w:cs="Arial" w:eastAsia="Arial" w:hAnsi="Arial"/>
          <w:sz w:val="22"/>
          <w:szCs w:val="22"/>
        </w:rPr>
        <w:t xml:space="preserve">Like Resend, Google Calendar is not directly part of the NEXUS pipeline but is part of the broader MemorAid platform that NEXUS researches and develops features for. The calendar integration serves as an example of the kind of external service integration that NEXUS department agents would need to consider when evaluating new features.</w:t>
      </w:r>
    </w:p>
    <w:p>
      <w:pPr>
        <w:spacing w:after="60" w:before="60"/>
      </w:pPr>
    </w:p>
    <w:p>
      <w:pPr>
        <w:pStyle w:val="Heading3"/>
        <w:spacing w:after="120" w:before="240"/>
      </w:pPr>
      <w:r>
        <w:rPr>
          <w:rFonts w:ascii="Arial" w:cs="Arial" w:eastAsia="Arial" w:hAnsi="Arial"/>
          <w:b/>
          <w:bCs/>
          <w:sz w:val="26"/>
          <w:szCs w:val="26"/>
        </w:rPr>
        <w:t xml:space="preserve">Graceful Degradation Across All Services</w:t>
      </w:r>
    </w:p>
    <w:p>
      <w:pPr>
        <w:spacing w:after="60" w:before="60"/>
      </w:pPr>
    </w:p>
    <w:p>
      <w:pPr>
        <w:spacing w:after="60" w:before="60"/>
      </w:pPr>
      <w:r>
        <w:rPr>
          <w:rFonts w:ascii="Arial" w:cs="Arial" w:eastAsia="Arial" w:hAnsi="Arial"/>
          <w:sz w:val="22"/>
          <w:szCs w:val="22"/>
        </w:rPr>
        <w:t xml:space="preserve">A defining characteristic of the NEXUS integration architecture is that no single external service failure can prevent the system from functioning. Every AI provider falls back to alternatives when unavailable. The N8N bridge falls back to direct API calls when N8N is not configured or not responding. Resend and Google Calendar are optional services whose absence disables specific features rather than crashing the application.</w:t>
      </w:r>
    </w:p>
    <w:p>
      <w:pPr>
        <w:spacing w:after="60" w:before="60"/>
      </w:pPr>
    </w:p>
    <w:p>
      <w:pPr>
        <w:spacing w:after="60" w:before="60"/>
      </w:pPr>
      <w:r>
        <w:rPr>
          <w:rFonts w:ascii="Arial" w:cs="Arial" w:eastAsia="Arial" w:hAnsi="Arial"/>
          <w:sz w:val="22"/>
          <w:szCs w:val="22"/>
        </w:rPr>
        <w:t xml:space="preserve">This resilience is achieved through a consistent pattern: check whether the service is configured (usually by checking for the presence of an API key), attempt to use the service, catch any errors, and either fall back to an alternative or gracefully skip the operation. The multiProviderAI module embodies this pattern most completely with its ordered fallback chain, but the same approach is used throughout the codebase.</w:t>
      </w:r>
    </w:p>
    <w:p>
      <w:pPr>
        <w:spacing w:after="60" w:before="60"/>
      </w:pPr>
    </w:p>
    <w:p>
      <w:pPr>
        <w:pBdr>
          <w:bottom w:val="single" w:color="CCCCCC" w:sz="3" w:space="1"/>
        </w:pBdr>
        <w:spacing w:after="120" w:before="120"/>
      </w:pPr>
    </w:p>
    <w:p>
      <w:pPr>
        <w:spacing w:after="60" w:before="60"/>
      </w:pPr>
    </w:p>
    <w:p>
      <w:pPr>
        <w:pStyle w:val="Heading2"/>
        <w:spacing w:after="160" w:before="300"/>
      </w:pPr>
      <w:r>
        <w:rPr>
          <w:rFonts w:ascii="Arial" w:cs="Arial" w:eastAsia="Arial" w:hAnsi="Arial"/>
          <w:b/>
          <w:bCs/>
          <w:sz w:val="30"/>
          <w:szCs w:val="30"/>
        </w:rPr>
        <w:t xml:space="preserve">Part 8: Error Handling and Resilience Patterns</w:t>
      </w:r>
    </w:p>
    <w:p>
      <w:pPr>
        <w:spacing w:after="60" w:before="60"/>
      </w:pPr>
    </w:p>
    <w:p>
      <w:pPr>
        <w:pStyle w:val="Heading3"/>
        <w:spacing w:after="120" w:before="240"/>
      </w:pPr>
      <w:r>
        <w:rPr>
          <w:rFonts w:ascii="Arial" w:cs="Arial" w:eastAsia="Arial" w:hAnsi="Arial"/>
          <w:b/>
          <w:bCs/>
          <w:sz w:val="26"/>
          <w:szCs w:val="26"/>
        </w:rPr>
        <w:t xml:space="preserve">Model Fallback Chains — The Core Resilience Mechanism</w:t>
      </w:r>
    </w:p>
    <w:p>
      <w:pPr>
        <w:spacing w:after="60" w:before="60"/>
      </w:pPr>
    </w:p>
    <w:p>
      <w:pPr>
        <w:spacing w:after="60" w:before="60"/>
      </w:pPr>
      <w:r>
        <w:rPr>
          <w:rFonts w:ascii="Arial" w:cs="Arial" w:eastAsia="Arial" w:hAnsi="Arial"/>
          <w:sz w:val="22"/>
          <w:szCs w:val="22"/>
        </w:rPr>
        <w:t xml:space="preserve">The most sophisticated error handling in NEXUS is the multi-provider AI fallback system implemented in multiProviderAI.ts. When a request is made to callAI, the system constructs an ordered list of providers based on the use case routing map and the user's preferred models. It then attempts to call each provider in order, falling through to the next provider if the current one fails.</w:t>
      </w:r>
    </w:p>
    <w:p>
      <w:pPr>
        <w:spacing w:after="60" w:before="60"/>
      </w:pPr>
    </w:p>
    <w:p>
      <w:pPr>
        <w:spacing w:after="60" w:before="60"/>
      </w:pPr>
      <w:r>
        <w:rPr>
          <w:rFonts w:ascii="Arial" w:cs="Arial" w:eastAsia="Arial" w:hAnsi="Arial"/>
          <w:sz w:val="22"/>
          <w:szCs w:val="22"/>
        </w:rPr>
        <w:t xml:space="preserve">The fallback logic distinguishes between different types of failures. Quota and rate limit errors (HTTP 429 responses or error messages containing "quota" or "rate limit") cause the failed provider to be added to a skipProviders set, preventing further attempts to use that provider during the current request. Other errors (network failures, authentication errors, internal server errors) allow the provider to be retried on subsequent attempts.</w:t>
      </w:r>
    </w:p>
    <w:p>
      <w:pPr>
        <w:spacing w:after="60" w:before="60"/>
      </w:pPr>
    </w:p>
    <w:p>
      <w:pPr>
        <w:spacing w:after="60" w:before="60"/>
      </w:pPr>
      <w:r>
        <w:rPr>
          <w:rFonts w:ascii="Arial" w:cs="Arial" w:eastAsia="Arial" w:hAnsi="Arial"/>
          <w:sz w:val="22"/>
          <w:szCs w:val="22"/>
        </w:rPr>
        <w:t xml:space="preserve">The system makes up to three attempts to find a working provider. Between attempts, it waits with exponential backoff: the delay is calculated as 2^(attempt+1) * 500 milliseconds. This means the first retry waits 2 seconds (2^2 * 500ms), and the second retry waits 4 seconds (2^3 * 500ms). This backoff gives transient failures time to resolve without waiting excessively long.</w:t>
      </w:r>
    </w:p>
    <w:p>
      <w:pPr>
        <w:spacing w:after="60" w:before="60"/>
      </w:pPr>
    </w:p>
    <w:p>
      <w:pPr>
        <w:spacing w:after="60" w:before="60"/>
      </w:pPr>
      <w:r>
        <w:rPr>
          <w:rFonts w:ascii="Arial" w:cs="Arial" w:eastAsia="Arial" w:hAnsi="Arial"/>
          <w:sz w:val="22"/>
          <w:szCs w:val="22"/>
        </w:rPr>
        <w:t xml:space="preserve">If the user has not selected specific preferred models, the system also tries fallback providers that were not in the original routing order. This means that even if the routing map specifies Claude as primary and Gemini 3.1 as fallback, the system will also try OpenAI, Gemini Flash, and Perplexity if both Claude and Gemini 3.1 fail. This maximizes the chances of getting a response from at least one provider.</w:t>
      </w:r>
    </w:p>
    <w:p>
      <w:pPr>
        <w:spacing w:after="60" w:before="60"/>
      </w:pPr>
    </w:p>
    <w:p>
      <w:pPr>
        <w:spacing w:after="60" w:before="60"/>
      </w:pPr>
      <w:r>
        <w:rPr>
          <w:rFonts w:ascii="Arial" w:cs="Arial" w:eastAsia="Arial" w:hAnsi="Arial"/>
          <w:sz w:val="22"/>
          <w:szCs w:val="22"/>
        </w:rPr>
        <w:t xml:space="preserve">When a request succeeds after falling through from a higher-priority provider, the result includes a fallbackReason field that documents which provider failed and why. This information is stored in the database alongside the department result, providing visibility into model routing decisions and service reliability over time.</w:t>
      </w:r>
    </w:p>
    <w:p>
      <w:pPr>
        <w:spacing w:after="60" w:before="60"/>
      </w:pPr>
    </w:p>
    <w:p>
      <w:pPr>
        <w:pStyle w:val="Heading3"/>
        <w:spacing w:after="120" w:before="240"/>
      </w:pPr>
      <w:r>
        <w:rPr>
          <w:rFonts w:ascii="Arial" w:cs="Arial" w:eastAsia="Arial" w:hAnsi="Arial"/>
          <w:b/>
          <w:bCs/>
          <w:sz w:val="26"/>
          <w:szCs w:val="26"/>
        </w:rPr>
        <w:t xml:space="preserve">SSE Error Recovery in the Orchestrator</w:t>
      </w:r>
    </w:p>
    <w:p>
      <w:pPr>
        <w:spacing w:after="60" w:before="60"/>
      </w:pPr>
    </w:p>
    <w:p>
      <w:pPr>
        <w:spacing w:after="60" w:before="60"/>
      </w:pPr>
      <w:r>
        <w:rPr>
          <w:rFonts w:ascii="Arial" w:cs="Arial" w:eastAsia="Arial" w:hAnsi="Arial"/>
          <w:sz w:val="22"/>
          <w:szCs w:val="22"/>
        </w:rPr>
        <w:t xml:space="preserve">The NEXUS brief orchestrator runs as a long-lived Server-Sent Events (SSE) stream that can take several minutes to complete. During this time, various errors can occur at different stages of the pipeline. The orchestrator's error handling strategy is to catch fatal errors at the top level, reset the brief to "draft" status (allowing the administrator to retry), and send an error event through the SSE stream with a retryable flag set to true.</w:t>
      </w:r>
    </w:p>
    <w:p>
      <w:pPr>
        <w:spacing w:after="60" w:before="60"/>
      </w:pPr>
    </w:p>
    <w:p>
      <w:pPr>
        <w:spacing w:after="60" w:before="60"/>
      </w:pPr>
      <w:r>
        <w:rPr>
          <w:rFonts w:ascii="Arial" w:cs="Arial" w:eastAsia="Arial" w:hAnsi="Arial"/>
          <w:sz w:val="22"/>
          <w:szCs w:val="22"/>
        </w:rPr>
        <w:t xml:space="preserve">The reset-to-draft behavior is critical for operational resilience. Without it, a failed research run would leave the brief in a "researching" status with no way to restart the process. By resetting to "draft," the system ensures that the brief is always in a state from which the administrator can take action: either retry the research or modify the brief's parameters before trying again.</w:t>
      </w:r>
    </w:p>
    <w:p>
      <w:pPr>
        <w:spacing w:after="60" w:before="60"/>
      </w:pPr>
    </w:p>
    <w:p>
      <w:pPr>
        <w:pStyle w:val="Heading3"/>
        <w:spacing w:after="120" w:before="240"/>
      </w:pPr>
      <w:r>
        <w:rPr>
          <w:rFonts w:ascii="Arial" w:cs="Arial" w:eastAsia="Arial" w:hAnsi="Arial"/>
          <w:b/>
          <w:bCs/>
          <w:sz w:val="26"/>
          <w:szCs w:val="26"/>
        </w:rPr>
        <w:t xml:space="preserve">Silent Error Swallowing Patterns</w:t>
      </w:r>
    </w:p>
    <w:p>
      <w:pPr>
        <w:spacing w:after="60" w:before="60"/>
      </w:pPr>
    </w:p>
    <w:p>
      <w:pPr>
        <w:spacing w:after="60" w:before="60"/>
      </w:pPr>
      <w:r>
        <w:rPr>
          <w:rFonts w:ascii="Arial" w:cs="Arial" w:eastAsia="Arial" w:hAnsi="Arial"/>
          <w:sz w:val="22"/>
          <w:szCs w:val="22"/>
        </w:rPr>
        <w:t xml:space="preserve">Throughout the NEXUS codebase, there are numerous instances of catch blocks that silently swallow errors, typically using the pattern .catch(() =&gt; {}). This pattern appears in several contexts: when saving web sources to the database (non-fatal because the main research results are still usable), when learning from high-trust sources (best-effort learning that should not block the pipeline), when logging AI costs (cost tracking failure should not prevent the AI from being used), and when logging errors to the error_logs table (an error in error logging should not cause additional errors).</w:t>
      </w:r>
    </w:p>
    <w:p>
      <w:pPr>
        <w:spacing w:after="60" w:before="60"/>
      </w:pPr>
    </w:p>
    <w:p>
      <w:pPr>
        <w:spacing w:after="60" w:before="60"/>
      </w:pPr>
      <w:r>
        <w:rPr>
          <w:rFonts w:ascii="Arial" w:cs="Arial" w:eastAsia="Arial" w:hAnsi="Arial"/>
          <w:sz w:val="22"/>
          <w:szCs w:val="22"/>
        </w:rPr>
        <w:t xml:space="preserve">While silent error swallowing serves a valid purpose in preventing cascading failures, it comes with a significant risk: errors that should be investigated may go unnoticed. The codebase mitigates this partially by adding console.error or console.warn calls before the silent catch in many cases, ensuring that the errors appear in server logs even though they do not propagate to the caller. However, a more robust approach would be to use a structured logging system that captures these errors with appropriate severity levels and makes them searchable.</w:t>
      </w:r>
    </w:p>
    <w:p>
      <w:pPr>
        <w:spacing w:after="60" w:before="60"/>
      </w:pPr>
    </w:p>
    <w:p>
      <w:pPr>
        <w:pStyle w:val="Heading3"/>
        <w:spacing w:after="120" w:before="240"/>
      </w:pPr>
      <w:r>
        <w:rPr>
          <w:rFonts w:ascii="Arial" w:cs="Arial" w:eastAsia="Arial" w:hAnsi="Arial"/>
          <w:b/>
          <w:bCs/>
          <w:sz w:val="26"/>
          <w:szCs w:val="26"/>
        </w:rPr>
        <w:t xml:space="preserve">JSON Parsing Resilience in Task Extraction</w:t>
      </w:r>
    </w:p>
    <w:p>
      <w:pPr>
        <w:spacing w:after="60" w:before="60"/>
      </w:pPr>
    </w:p>
    <w:p>
      <w:pPr>
        <w:spacing w:after="60" w:before="60"/>
      </w:pPr>
      <w:r>
        <w:rPr>
          <w:rFonts w:ascii="Arial" w:cs="Arial" w:eastAsia="Arial" w:hAnsi="Arial"/>
          <w:sz w:val="22"/>
          <w:szCs w:val="22"/>
        </w:rPr>
        <w:t xml:space="preserve">The task extraction process, which converts AI-generated research findings into structured development tasks, faces a particular challenge: the AI models do not always produce perfectly valid JSON. The extraction system implements three levels of fallback for parsing AI output.</w:t>
      </w:r>
    </w:p>
    <w:p>
      <w:pPr>
        <w:spacing w:after="60" w:before="60"/>
      </w:pPr>
    </w:p>
    <w:p>
      <w:pPr>
        <w:spacing w:after="60" w:before="60"/>
      </w:pPr>
      <w:r>
        <w:rPr>
          <w:rFonts w:ascii="Arial" w:cs="Arial" w:eastAsia="Arial" w:hAnsi="Arial"/>
          <w:sz w:val="22"/>
          <w:szCs w:val="22"/>
        </w:rPr>
        <w:t xml:space="preserve">The first level attempts to parse the AI response as valid JSON directly. If the response is wrapped in markdown code fences (which AI models frequently add), the system strips those before parsing. The second level attempts to extract JSON from within the response text by searching for array-like patterns (text starting with "[" and ending with "]"). The third level falls back to treating the response as a description and generating a single task from it, ensuring that even completely unparseable output produces some actionable result.</w:t>
      </w:r>
    </w:p>
    <w:p>
      <w:pPr>
        <w:spacing w:after="60" w:before="60"/>
      </w:pPr>
    </w:p>
    <w:p>
      <w:pPr>
        <w:spacing w:after="60" w:before="60"/>
      </w:pPr>
      <w:r>
        <w:rPr>
          <w:rFonts w:ascii="Arial" w:cs="Arial" w:eastAsia="Arial" w:hAnsi="Arial"/>
          <w:sz w:val="22"/>
          <w:szCs w:val="22"/>
        </w:rPr>
        <w:t xml:space="preserve">This multi-level parsing resilience is important because task extraction is a critical step in the NEXUS pipeline: if it fails completely, the entire workflow from research to development stalls. By ensuring that some tasks are always extracted (even if the quality is reduced when fallback parsing is needed), the system maintains forward progress.</w:t>
      </w:r>
    </w:p>
    <w:p>
      <w:pPr>
        <w:spacing w:after="60" w:before="60"/>
      </w:pPr>
    </w:p>
    <w:p>
      <w:pPr>
        <w:pStyle w:val="Heading3"/>
        <w:spacing w:after="120" w:before="240"/>
      </w:pPr>
      <w:r>
        <w:rPr>
          <w:rFonts w:ascii="Arial" w:cs="Arial" w:eastAsia="Arial" w:hAnsi="Arial"/>
          <w:b/>
          <w:bCs/>
          <w:sz w:val="26"/>
          <w:szCs w:val="26"/>
        </w:rPr>
        <w:t xml:space="preserve">Web Intelligence Failure Isolation</w:t>
      </w:r>
    </w:p>
    <w:p>
      <w:pPr>
        <w:spacing w:after="60" w:before="60"/>
      </w:pPr>
    </w:p>
    <w:p>
      <w:pPr>
        <w:spacing w:after="60" w:before="60"/>
      </w:pPr>
      <w:r>
        <w:rPr>
          <w:rFonts w:ascii="Arial" w:cs="Arial" w:eastAsia="Arial" w:hAnsi="Arial"/>
          <w:sz w:val="22"/>
          <w:szCs w:val="22"/>
        </w:rPr>
        <w:t xml:space="preserve">During the web intelligence gathering phase, the NEXUS pipeline queries multiple external sources: Perplexity for web search results, and potentially N8N for GitHub, Reddit, YouTube, and competitive analysis. Each of these sources can fail independently without affecting the others.</w:t>
      </w:r>
    </w:p>
    <w:p>
      <w:pPr>
        <w:spacing w:after="60" w:before="60"/>
      </w:pPr>
    </w:p>
    <w:p>
      <w:pPr>
        <w:spacing w:after="60" w:before="60"/>
      </w:pPr>
      <w:r>
        <w:rPr>
          <w:rFonts w:ascii="Arial" w:cs="Arial" w:eastAsia="Arial" w:hAnsi="Arial"/>
          <w:sz w:val="22"/>
          <w:szCs w:val="22"/>
        </w:rPr>
        <w:t xml:space="preserve">The web intelligence gathering function uses Promise.allSettled (or equivalent error isolation patterns) to run multiple queries in parallel and collect results from whichever sources succeed. If Perplexity is unavailable, the system proceeds with whatever sources N8N provided (or with an empty source list if N8N is also unavailable). Individual source failures are logged but do not stop the research pipeline.</w:t>
      </w:r>
    </w:p>
    <w:p>
      <w:pPr>
        <w:spacing w:after="60" w:before="60"/>
      </w:pPr>
    </w:p>
    <w:p>
      <w:pPr>
        <w:spacing w:after="60" w:before="60"/>
      </w:pPr>
      <w:r>
        <w:rPr>
          <w:rFonts w:ascii="Arial" w:cs="Arial" w:eastAsia="Arial" w:hAnsi="Arial"/>
          <w:sz w:val="22"/>
          <w:szCs w:val="22"/>
        </w:rPr>
        <w:t xml:space="preserve">This isolation is essential because external service availability is inherently unpredictable. A GitHub API rate limit, a Perplexity timeout, or an N8N configuration error should reduce the breadth of research but should never prevent research from proceeding entirely.</w:t>
      </w:r>
    </w:p>
    <w:p>
      <w:pPr>
        <w:spacing w:after="60" w:before="60"/>
      </w:pPr>
    </w:p>
    <w:p>
      <w:pPr>
        <w:pStyle w:val="Heading3"/>
        <w:spacing w:after="120" w:before="240"/>
      </w:pPr>
      <w:r>
        <w:rPr>
          <w:rFonts w:ascii="Arial" w:cs="Arial" w:eastAsia="Arial" w:hAnsi="Arial"/>
          <w:b/>
          <w:bCs/>
          <w:sz w:val="26"/>
          <w:szCs w:val="26"/>
        </w:rPr>
        <w:t xml:space="preserve">Department Agent Failure Isolation</w:t>
      </w:r>
    </w:p>
    <w:p>
      <w:pPr>
        <w:spacing w:after="60" w:before="60"/>
      </w:pPr>
    </w:p>
    <w:p>
      <w:pPr>
        <w:spacing w:after="60" w:before="60"/>
      </w:pPr>
      <w:r>
        <w:rPr>
          <w:rFonts w:ascii="Arial" w:cs="Arial" w:eastAsia="Arial" w:hAnsi="Arial"/>
          <w:sz w:val="22"/>
          <w:szCs w:val="22"/>
        </w:rPr>
        <w:t xml:space="preserve">Similarly, the department agent execution phase uses Promise.allSettled to run all department agents in parallel. If one department's AI call fails (due to a model error, a timeout, or a parsing failure), the error is captured and stored in the department result with an error flag. The SSE stream reports the error for that specific department, but all other departments continue executing normally.</w:t>
      </w:r>
    </w:p>
    <w:p>
      <w:pPr>
        <w:spacing w:after="60" w:before="60"/>
      </w:pPr>
    </w:p>
    <w:p>
      <w:pPr>
        <w:spacing w:after="60" w:before="60"/>
      </w:pPr>
      <w:r>
        <w:rPr>
          <w:rFonts w:ascii="Arial" w:cs="Arial" w:eastAsia="Arial" w:hAnsi="Arial"/>
          <w:sz w:val="22"/>
          <w:szCs w:val="22"/>
        </w:rPr>
        <w:t xml:space="preserve">The final assembled brief includes error indicators for any departments that failed, allowing the administrator to see which departments produced results and which encountered errors. The administrator can then decide whether the brief is complete enough to approve or whether it should be retried with different model selections.</w:t>
      </w:r>
    </w:p>
    <w:p>
      <w:pPr>
        <w:spacing w:after="60" w:before="60"/>
      </w:pPr>
    </w:p>
    <w:p>
      <w:pPr>
        <w:pStyle w:val="Heading3"/>
        <w:spacing w:after="120" w:before="240"/>
      </w:pPr>
      <w:r>
        <w:rPr>
          <w:rFonts w:ascii="Arial" w:cs="Arial" w:eastAsia="Arial" w:hAnsi="Arial"/>
          <w:b/>
          <w:bCs/>
          <w:sz w:val="26"/>
          <w:szCs w:val="26"/>
        </w:rPr>
        <w:t xml:space="preserve">N8N Timeout Handling and Fallback</w:t>
      </w:r>
    </w:p>
    <w:p>
      <w:pPr>
        <w:spacing w:after="60" w:before="60"/>
      </w:pPr>
    </w:p>
    <w:p>
      <w:pPr>
        <w:spacing w:after="60" w:before="60"/>
      </w:pPr>
      <w:r>
        <w:rPr>
          <w:rFonts w:ascii="Arial" w:cs="Arial" w:eastAsia="Arial" w:hAnsi="Arial"/>
          <w:sz w:val="22"/>
          <w:szCs w:val="22"/>
        </w:rPr>
        <w:t xml:space="preserve">The N8N bridge implements timeout handling using AbortController. When a webhook request to N8N exceeds the configured timeout (N8N_TIMEOUT_MS, default 60 seconds), the AbortController's abort method is called, which causes the fetch request to throw an AbortError. The bridge catches this error and falls back to direct API calls, logging a warning that N8N was unavailable.</w:t>
      </w:r>
    </w:p>
    <w:p>
      <w:pPr>
        <w:spacing w:after="60" w:before="60"/>
      </w:pPr>
    </w:p>
    <w:p>
      <w:pPr>
        <w:spacing w:after="60" w:before="60"/>
      </w:pPr>
      <w:r>
        <w:rPr>
          <w:rFonts w:ascii="Arial" w:cs="Arial" w:eastAsia="Arial" w:hAnsi="Arial"/>
          <w:sz w:val="22"/>
          <w:szCs w:val="22"/>
        </w:rPr>
        <w:t xml:space="preserve">The timeout mechanism is important because N8N workflows can be complex and slow, especially if they involve multiple external API calls, data transformation steps, and conditional logic. A one-minute timeout provides enough time for most research workflows to complete while preventing the NEXUS pipeline from hanging indefinitely if N8N is unresponsive.</w:t>
      </w:r>
    </w:p>
    <w:p>
      <w:pPr>
        <w:spacing w:after="60" w:before="60"/>
      </w:pPr>
    </w:p>
    <w:p>
      <w:pPr>
        <w:pBdr>
          <w:bottom w:val="single" w:color="CCCCCC" w:sz="3" w:space="1"/>
        </w:pBdr>
        <w:spacing w:after="120" w:before="120"/>
      </w:pPr>
    </w:p>
    <w:p>
      <w:pPr>
        <w:spacing w:after="60" w:before="60"/>
      </w:pPr>
    </w:p>
    <w:p>
      <w:pPr>
        <w:pStyle w:val="Heading2"/>
        <w:spacing w:after="160" w:before="300"/>
      </w:pPr>
      <w:r>
        <w:rPr>
          <w:rFonts w:ascii="Arial" w:cs="Arial" w:eastAsia="Arial" w:hAnsi="Arial"/>
          <w:b/>
          <w:bCs/>
          <w:sz w:val="30"/>
          <w:szCs w:val="30"/>
        </w:rPr>
        <w:t xml:space="preserve">Part 9: Cost Tracking and Financial Operations</w:t>
      </w:r>
    </w:p>
    <w:p>
      <w:pPr>
        <w:spacing w:after="60" w:before="60"/>
      </w:pPr>
    </w:p>
    <w:p>
      <w:pPr>
        <w:pStyle w:val="Heading3"/>
        <w:spacing w:after="120" w:before="240"/>
      </w:pPr>
      <w:r>
        <w:rPr>
          <w:rFonts w:ascii="Arial" w:cs="Arial" w:eastAsia="Arial" w:hAnsi="Arial"/>
          <w:b/>
          <w:bCs/>
          <w:sz w:val="26"/>
          <w:szCs w:val="26"/>
        </w:rPr>
        <w:t xml:space="preserve">The ai_usage Table Structure</w:t>
      </w:r>
    </w:p>
    <w:p>
      <w:pPr>
        <w:spacing w:after="60" w:before="60"/>
      </w:pPr>
    </w:p>
    <w:p>
      <w:pPr>
        <w:spacing w:after="60" w:before="60"/>
      </w:pPr>
      <w:r>
        <w:rPr>
          <w:rFonts w:ascii="Arial" w:cs="Arial" w:eastAsia="Arial" w:hAnsi="Arial"/>
          <w:sz w:val="22"/>
          <w:szCs w:val="22"/>
        </w:rPr>
        <w:t xml:space="preserve">Every AI API call made by the NEXUS system (and the broader MemorAid platform) is logged to the ai_usage table in the PostgreSQL database. This table serves as the single source of truth for AI cost tracking, usage analytics, and financial reporting.</w:t>
      </w:r>
    </w:p>
    <w:p>
      <w:pPr>
        <w:spacing w:after="60" w:before="60"/>
      </w:pPr>
    </w:p>
    <w:p>
      <w:pPr>
        <w:spacing w:after="60" w:before="60"/>
      </w:pPr>
      <w:r>
        <w:rPr>
          <w:rFonts w:ascii="Arial" w:cs="Arial" w:eastAsia="Arial" w:hAnsi="Arial"/>
          <w:sz w:val="22"/>
          <w:szCs w:val="22"/>
        </w:rPr>
        <w:t xml:space="preserve">The table has a UUID primary key generated randomly by the database. The familyId field links the usage to a specific family (for user-facing AI features) and references the families table with cascade deletion. The userId field links to the specific user who initiated the request. The adminUserId field links to the admin user who triggered the request from the admin panel, which is the common case for NEXUS operations.</w:t>
      </w:r>
    </w:p>
    <w:p>
      <w:pPr>
        <w:spacing w:after="60" w:before="60"/>
      </w:pPr>
    </w:p>
    <w:p>
      <w:pPr>
        <w:spacing w:after="60" w:before="60"/>
      </w:pPr>
      <w:r>
        <w:rPr>
          <w:rFonts w:ascii="Arial" w:cs="Arial" w:eastAsia="Arial" w:hAnsi="Arial"/>
          <w:sz w:val="22"/>
          <w:szCs w:val="22"/>
        </w:rPr>
        <w:t xml:space="preserve">The model field is a varchar of up to 64 characters that stores the exact model identifier used (e.g., "claude-sonnet-4-6", "gpt-4o", "gemini-2.5-flash"). The tokensUsed field is an integer storing the total token count (input plus output). The costUsd field is a varchar of up to 16 characters storing the calculated cost in US dollars, formatted to six decimal places.</w:t>
      </w:r>
    </w:p>
    <w:p>
      <w:pPr>
        <w:spacing w:after="60" w:before="60"/>
      </w:pPr>
    </w:p>
    <w:p>
      <w:pPr>
        <w:spacing w:after="60" w:before="60"/>
      </w:pPr>
      <w:r>
        <w:rPr>
          <w:rFonts w:ascii="Arial" w:cs="Arial" w:eastAsia="Arial" w:hAnsi="Arial"/>
          <w:sz w:val="22"/>
          <w:szCs w:val="22"/>
        </w:rPr>
        <w:t xml:space="preserve">The endpoint field stores the use case identifier (e.g., "departmentAnalysis", "smartTitle", "taskExtraction"), allowing cost analysis by feature. The responseTimeMs field stores the API response time in milliseconds. The errorOccurred and errorMessage fields track whether the call resulted in an error, providing visibility into failure rates per model and use case.</w:t>
      </w:r>
    </w:p>
    <w:p>
      <w:pPr>
        <w:spacing w:after="60" w:before="60"/>
      </w:pPr>
    </w:p>
    <w:p>
      <w:pPr>
        <w:spacing w:after="60" w:before="60"/>
      </w:pPr>
      <w:r>
        <w:rPr>
          <w:rFonts w:ascii="Arial" w:cs="Arial" w:eastAsia="Arial" w:hAnsi="Arial"/>
          <w:sz w:val="22"/>
          <w:szCs w:val="22"/>
        </w:rPr>
        <w:t xml:space="preserve">The createdAt timestamp with timezone tracks when the call was made. There is also a companion table, ai_usage_daily_summary, that aggregates daily totals per model and endpoint for efficient reporting. This summary table includes totalCalls, totalTokens, totalCostUsd, avgTokensPerCall, successCount, errorCount, and avgQualityScore fields.</w:t>
      </w:r>
    </w:p>
    <w:p>
      <w:pPr>
        <w:spacing w:after="60" w:before="60"/>
      </w:pPr>
    </w:p>
    <w:p>
      <w:pPr>
        <w:pStyle w:val="Heading3"/>
        <w:spacing w:after="120" w:before="240"/>
      </w:pPr>
      <w:r>
        <w:rPr>
          <w:rFonts w:ascii="Arial" w:cs="Arial" w:eastAsia="Arial" w:hAnsi="Arial"/>
          <w:b/>
          <w:bCs/>
          <w:sz w:val="26"/>
          <w:szCs w:val="26"/>
        </w:rPr>
        <w:t xml:space="preserve">Per-Model Pricing in the Codebase</w:t>
      </w:r>
    </w:p>
    <w:p>
      <w:pPr>
        <w:spacing w:after="60" w:before="60"/>
      </w:pPr>
    </w:p>
    <w:p>
      <w:pPr>
        <w:spacing w:after="60" w:before="60"/>
      </w:pPr>
      <w:r>
        <w:rPr>
          <w:rFonts w:ascii="Arial" w:cs="Arial" w:eastAsia="Arial" w:hAnsi="Arial"/>
          <w:sz w:val="22"/>
          <w:szCs w:val="22"/>
        </w:rPr>
        <w:t xml:space="preserve">The PRICING constant in multiProviderAI.ts maintains the current pricing for all AI models used by the system. This pricing information is used to calculate the cost of each API call immediately after receiving the response, before the cost is logged to the database.</w:t>
      </w:r>
    </w:p>
    <w:p>
      <w:pPr>
        <w:spacing w:after="60" w:before="60"/>
      </w:pPr>
    </w:p>
    <w:p>
      <w:pPr>
        <w:spacing w:after="60" w:before="60"/>
      </w:pPr>
      <w:r>
        <w:rPr>
          <w:rFonts w:ascii="Arial" w:cs="Arial" w:eastAsia="Arial" w:hAnsi="Arial"/>
          <w:sz w:val="22"/>
          <w:szCs w:val="22"/>
        </w:rPr>
        <w:t xml:space="preserve">Claude Sonnet 4.6 is priced at three dollars per million input tokens and fifteen dollars per million output tokens. This reflects Anthropic's pricing for the most capable Sonnet model. Claude Haiku 4.5, the lighter model, is priced at one dollar per million input tokens and five dollars per million output tokens.</w:t>
      </w:r>
    </w:p>
    <w:p>
      <w:pPr>
        <w:spacing w:after="60" w:before="60"/>
      </w:pPr>
    </w:p>
    <w:p>
      <w:pPr>
        <w:spacing w:after="60" w:before="60"/>
      </w:pPr>
      <w:r>
        <w:rPr>
          <w:rFonts w:ascii="Arial" w:cs="Arial" w:eastAsia="Arial" w:hAnsi="Arial"/>
          <w:sz w:val="22"/>
          <w:szCs w:val="22"/>
        </w:rPr>
        <w:t xml:space="preserve">GPT-4o from OpenAI is priced at two dollars and fifty cents per million input tokens and ten dollars per million output tokens. The GPT-4o-mini model is also in the pricing table at fifteen cents per million input tokens and sixty cents per million output tokens, though it is not currently used in the model routing.</w:t>
      </w:r>
    </w:p>
    <w:p>
      <w:pPr>
        <w:spacing w:after="60" w:before="60"/>
      </w:pPr>
    </w:p>
    <w:p>
      <w:pPr>
        <w:spacing w:after="60" w:before="60"/>
      </w:pPr>
      <w:r>
        <w:rPr>
          <w:rFonts w:ascii="Arial" w:cs="Arial" w:eastAsia="Arial" w:hAnsi="Arial"/>
          <w:sz w:val="22"/>
          <w:szCs w:val="22"/>
        </w:rPr>
        <w:t xml:space="preserve">Gemini 2.5 Flash from Google is the most affordable option at thirty cents per million input tokens and two dollars fifty cents per million output tokens. Gemini 2.5 Pro has a higher price point at one dollar twenty-five cents per million input tokens and ten dollars per million output tokens. Gemini 3.1 Pro Preview is priced at two dollars per million input tokens and twelve dollars per million output tokens.</w:t>
      </w:r>
    </w:p>
    <w:p>
      <w:pPr>
        <w:spacing w:after="60" w:before="60"/>
      </w:pPr>
    </w:p>
    <w:p>
      <w:pPr>
        <w:spacing w:after="60" w:before="60"/>
      </w:pPr>
      <w:r>
        <w:rPr>
          <w:rFonts w:ascii="Arial" w:cs="Arial" w:eastAsia="Arial" w:hAnsi="Arial"/>
          <w:sz w:val="22"/>
          <w:szCs w:val="22"/>
        </w:rPr>
        <w:t xml:space="preserve">Perplexity Sonar has flat pricing at one dollar per million input tokens and one dollar per million output tokens. This relatively low output cost reflects Perplexity's focus on search results rather than long-form generation.</w:t>
      </w:r>
    </w:p>
    <w:p>
      <w:pPr>
        <w:spacing w:after="60" w:before="60"/>
      </w:pPr>
    </w:p>
    <w:p>
      <w:pPr>
        <w:pStyle w:val="Heading3"/>
        <w:spacing w:after="120" w:before="240"/>
      </w:pPr>
      <w:r>
        <w:rPr>
          <w:rFonts w:ascii="Arial" w:cs="Arial" w:eastAsia="Arial" w:hAnsi="Arial"/>
          <w:b/>
          <w:bCs/>
          <w:sz w:val="26"/>
          <w:szCs w:val="26"/>
        </w:rPr>
        <w:t xml:space="preserve">Cost Per Brief — Typical Expenditure</w:t>
      </w:r>
    </w:p>
    <w:p>
      <w:pPr>
        <w:spacing w:after="60" w:before="60"/>
      </w:pPr>
    </w:p>
    <w:p>
      <w:pPr>
        <w:spacing w:after="60" w:before="60"/>
      </w:pPr>
      <w:r>
        <w:rPr>
          <w:rFonts w:ascii="Arial" w:cs="Arial" w:eastAsia="Arial" w:hAnsi="Arial"/>
          <w:sz w:val="22"/>
          <w:szCs w:val="22"/>
        </w:rPr>
        <w:t xml:space="preserve">A full NEXUS research brief that runs all thirteen departments (CEO, CTO, CPO, R&amp;D, Design, Product, Security, Legal, Marketing, Finance/CFO, HR, Customer Success, Sales, plus the AI Development Translation step) typically costs between fifteen and twenty-five US dollars. This cost varies based on several factors.</w:t>
      </w:r>
    </w:p>
    <w:p>
      <w:pPr>
        <w:spacing w:after="60" w:before="60"/>
      </w:pPr>
    </w:p>
    <w:p>
      <w:pPr>
        <w:spacing w:after="60" w:before="60"/>
      </w:pPr>
      <w:r>
        <w:rPr>
          <w:rFonts w:ascii="Arial" w:cs="Arial" w:eastAsia="Arial" w:hAnsi="Arial"/>
          <w:sz w:val="22"/>
          <w:szCs w:val="22"/>
        </w:rPr>
        <w:t xml:space="preserve">The primary cost driver is the model selection. If all departments use Claude Sonnet (the default for departmentAnalysis), the cost is higher because of Claude's premium pricing. If some departments are configured to use Gemini 3.1 Pro or Gemini Flash as their default model, the cost decreases significantly. The web research step using Perplexity adds a relatively small cost because Perplexity tokens are inexpensive. The smart title generation step using Gemini Flash adds a negligible cost.</w:t>
      </w:r>
    </w:p>
    <w:p>
      <w:pPr>
        <w:spacing w:after="60" w:before="60"/>
      </w:pPr>
    </w:p>
    <w:p>
      <w:pPr>
        <w:spacing w:after="60" w:before="60"/>
      </w:pPr>
      <w:r>
        <w:rPr>
          <w:rFonts w:ascii="Arial" w:cs="Arial" w:eastAsia="Arial" w:hAnsi="Arial"/>
          <w:sz w:val="22"/>
          <w:szCs w:val="22"/>
        </w:rPr>
        <w:t xml:space="preserve">The length of the idea prompt also affects cost: a longer, more detailed prompt means more input tokens for each department agent. The codebase context, which includes a snapshot of the project's code structure, adds a significant number of input tokens (the prompt builder truncates it to 4,000 characters, but this still represents a meaningful portion of the input).</w:t>
      </w:r>
    </w:p>
    <w:p>
      <w:pPr>
        <w:spacing w:after="60" w:before="60"/>
      </w:pPr>
    </w:p>
    <w:p>
      <w:pPr>
        <w:pStyle w:val="Heading3"/>
        <w:spacing w:after="120" w:before="240"/>
      </w:pPr>
      <w:r>
        <w:rPr>
          <w:rFonts w:ascii="Arial" w:cs="Arial" w:eastAsia="Arial" w:hAnsi="Arial"/>
          <w:b/>
          <w:bCs/>
          <w:sz w:val="26"/>
          <w:szCs w:val="26"/>
        </w:rPr>
        <w:t xml:space="preserve">Cost Aggregation Per Brief</w:t>
      </w:r>
    </w:p>
    <w:p>
      <w:pPr>
        <w:spacing w:after="60" w:before="60"/>
      </w:pPr>
    </w:p>
    <w:p>
      <w:pPr>
        <w:spacing w:after="60" w:before="60"/>
      </w:pPr>
      <w:r>
        <w:rPr>
          <w:rFonts w:ascii="Arial" w:cs="Arial" w:eastAsia="Arial" w:hAnsi="Arial"/>
          <w:sz w:val="22"/>
          <w:szCs w:val="22"/>
        </w:rPr>
        <w:t xml:space="preserve">During the orchestration process, the system tracks cumulative cost and token usage across all department agents. The totalCost and totalTokens variables in the runNexusOrchestrator function are updated after each department completes its analysis. When the brief is assembled and saved, these totals are stored in the nexus_briefs table as totalCostUsd and totalTokensUsed.</w:t>
      </w:r>
    </w:p>
    <w:p>
      <w:pPr>
        <w:spacing w:after="60" w:before="60"/>
      </w:pPr>
    </w:p>
    <w:p>
      <w:pPr>
        <w:spacing w:after="60" w:before="60"/>
      </w:pPr>
      <w:r>
        <w:rPr>
          <w:rFonts w:ascii="Arial" w:cs="Arial" w:eastAsia="Arial" w:hAnsi="Arial"/>
          <w:sz w:val="22"/>
          <w:szCs w:val="22"/>
        </w:rPr>
        <w:t xml:space="preserve">This brief-level cost aggregation allows administrators to quickly see how much each research brief cost, compare costs across different template configurations, and make informed decisions about which departments to include in future briefs. The cost data is also available through the SSE stream as real-time updates, allowing the admin interface to display a running cost counter during the research process.</w:t>
      </w:r>
    </w:p>
    <w:p>
      <w:pPr>
        <w:spacing w:after="60" w:before="60"/>
      </w:pPr>
    </w:p>
    <w:p>
      <w:pPr>
        <w:pStyle w:val="Heading3"/>
        <w:spacing w:after="120" w:before="240"/>
      </w:pPr>
      <w:r>
        <w:rPr>
          <w:rFonts w:ascii="Arial" w:cs="Arial" w:eastAsia="Arial" w:hAnsi="Arial"/>
          <w:b/>
          <w:bCs/>
          <w:sz w:val="26"/>
          <w:szCs w:val="26"/>
        </w:rPr>
        <w:t xml:space="preserve">SSE Real-Time Cost Updates</w:t>
      </w:r>
    </w:p>
    <w:p>
      <w:pPr>
        <w:spacing w:after="60" w:before="60"/>
      </w:pPr>
    </w:p>
    <w:p>
      <w:pPr>
        <w:spacing w:after="60" w:before="60"/>
      </w:pPr>
      <w:r>
        <w:rPr>
          <w:rFonts w:ascii="Arial" w:cs="Arial" w:eastAsia="Arial" w:hAnsi="Arial"/>
          <w:sz w:val="22"/>
          <w:szCs w:val="22"/>
        </w:rPr>
        <w:t xml:space="preserve">The SSE stream includes cost information in the department_done event for each completed department. The event payload includes the tokensUsed and costUsd fields for that specific department, as well as the model used. This allows the admin UI to display a real-time breakdown of costs as the research progresses, showing which departments have completed, which models they used, and how much each cost.</w:t>
      </w:r>
    </w:p>
    <w:p>
      <w:pPr>
        <w:spacing w:after="60" w:before="60"/>
      </w:pPr>
    </w:p>
    <w:p>
      <w:pPr>
        <w:spacing w:after="60" w:before="60"/>
      </w:pPr>
      <w:r>
        <w:rPr>
          <w:rFonts w:ascii="Arial" w:cs="Arial" w:eastAsia="Arial" w:hAnsi="Arial"/>
          <w:sz w:val="22"/>
          <w:szCs w:val="22"/>
        </w:rPr>
        <w:t xml:space="preserve">The final done event includes the totalCostUsd, totalTokens, and durationMs fields, providing a summary of the entire research run. This information is useful for both operational monitoring (how long did it take?) and financial tracking (how much did it cost?).</w:t>
      </w:r>
    </w:p>
    <w:p>
      <w:pPr>
        <w:spacing w:after="60" w:before="60"/>
      </w:pPr>
    </w:p>
    <w:p>
      <w:pPr>
        <w:pStyle w:val="Heading3"/>
        <w:spacing w:after="120" w:before="240"/>
      </w:pPr>
      <w:r>
        <w:rPr>
          <w:rFonts w:ascii="Arial" w:cs="Arial" w:eastAsia="Arial" w:hAnsi="Arial"/>
          <w:b/>
          <w:bCs/>
          <w:sz w:val="26"/>
          <w:szCs w:val="26"/>
        </w:rPr>
        <w:t xml:space="preserve">Budget Implications and Optimization Strategies</w:t>
      </w:r>
    </w:p>
    <w:p>
      <w:pPr>
        <w:spacing w:after="60" w:before="60"/>
      </w:pPr>
    </w:p>
    <w:p>
      <w:pPr>
        <w:spacing w:after="60" w:before="60"/>
      </w:pPr>
      <w:r>
        <w:rPr>
          <w:rFonts w:ascii="Arial" w:cs="Arial" w:eastAsia="Arial" w:hAnsi="Arial"/>
          <w:sz w:val="22"/>
          <w:szCs w:val="22"/>
        </w:rPr>
        <w:t xml:space="preserve">For an organization running multiple NEXUS briefs per week, AI costs can become a significant operational expense. Several strategies can reduce costs without significantly impacting research quality.</w:t>
      </w:r>
    </w:p>
    <w:p>
      <w:pPr>
        <w:spacing w:after="60" w:before="60"/>
      </w:pPr>
    </w:p>
    <w:p>
      <w:pPr>
        <w:spacing w:after="60" w:before="60"/>
      </w:pPr>
      <w:r>
        <w:rPr>
          <w:rFonts w:ascii="Arial" w:cs="Arial" w:eastAsia="Arial" w:hAnsi="Arial"/>
          <w:sz w:val="22"/>
          <w:szCs w:val="22"/>
        </w:rPr>
        <w:t xml:space="preserve">Using template configurations that exclude less relevant departments for specific types of research can reduce costs proportionally. For example, a technical feasibility assessment might only need the CTO, R&amp;D, Security, and Finance departments, cutting the cost roughly in half.</w:t>
      </w:r>
    </w:p>
    <w:p>
      <w:pPr>
        <w:spacing w:after="60" w:before="60"/>
      </w:pPr>
    </w:p>
    <w:p>
      <w:pPr>
        <w:spacing w:after="60" w:before="60"/>
      </w:pPr>
      <w:r>
        <w:rPr>
          <w:rFonts w:ascii="Arial" w:cs="Arial" w:eastAsia="Arial" w:hAnsi="Arial"/>
          <w:sz w:val="22"/>
          <w:szCs w:val="22"/>
        </w:rPr>
        <w:t xml:space="preserve">Configuring lower-cost models for less critical departments is another effective strategy. The Marketing and Sales departments, for example, might produce acceptable results with Gemini 3.1 Pro instead of Claude Sonnet, at less than half the cost per department.</w:t>
      </w:r>
    </w:p>
    <w:p>
      <w:pPr>
        <w:spacing w:after="60" w:before="60"/>
      </w:pPr>
    </w:p>
    <w:p>
      <w:pPr>
        <w:spacing w:after="60" w:before="60"/>
      </w:pPr>
      <w:r>
        <w:rPr>
          <w:rFonts w:ascii="Arial" w:cs="Arial" w:eastAsia="Arial" w:hAnsi="Arial"/>
          <w:sz w:val="22"/>
          <w:szCs w:val="22"/>
        </w:rPr>
        <w:t xml:space="preserve">Reducing the codebase context depth from "deep" to "quick" or "full" to a narrower scope reduces input token counts across all departments. Since each department receives the same codebase context, even a small reduction in context size multiplies across all departments.</w:t>
      </w:r>
    </w:p>
    <w:p>
      <w:pPr>
        <w:spacing w:after="60" w:before="60"/>
      </w:pPr>
    </w:p>
    <w:p>
      <w:pPr>
        <w:pBdr>
          <w:bottom w:val="single" w:color="CCCCCC" w:sz="3" w:space="1"/>
        </w:pBdr>
        <w:spacing w:after="120" w:before="120"/>
      </w:pPr>
    </w:p>
    <w:p>
      <w:pPr>
        <w:spacing w:after="60" w:before="60"/>
      </w:pPr>
    </w:p>
    <w:p>
      <w:pPr>
        <w:pStyle w:val="Heading2"/>
        <w:spacing w:after="160" w:before="300"/>
      </w:pPr>
      <w:r>
        <w:rPr>
          <w:rFonts w:ascii="Arial" w:cs="Arial" w:eastAsia="Arial" w:hAnsi="Arial"/>
          <w:b/>
          <w:bCs/>
          <w:sz w:val="30"/>
          <w:szCs w:val="30"/>
        </w:rPr>
        <w:t xml:space="preserve">Part 10: Complete Environment Variable Reference</w:t>
      </w:r>
    </w:p>
    <w:p>
      <w:pPr>
        <w:spacing w:after="60" w:before="60"/>
      </w:pPr>
    </w:p>
    <w:p>
      <w:pPr>
        <w:pStyle w:val="Heading3"/>
        <w:spacing w:after="120" w:before="240"/>
      </w:pPr>
      <w:r>
        <w:rPr>
          <w:rFonts w:ascii="Arial" w:cs="Arial" w:eastAsia="Arial" w:hAnsi="Arial"/>
          <w:b/>
          <w:bCs/>
          <w:sz w:val="26"/>
          <w:szCs w:val="26"/>
        </w:rPr>
        <w:t xml:space="preserve">DATABASE_URL — PostgreSQL Connection</w:t>
      </w:r>
    </w:p>
    <w:p>
      <w:pPr>
        <w:spacing w:after="60" w:before="60"/>
      </w:pPr>
    </w:p>
    <w:p>
      <w:pPr>
        <w:spacing w:after="60" w:before="60"/>
      </w:pPr>
      <w:r>
        <w:rPr>
          <w:rFonts w:ascii="Arial" w:cs="Arial" w:eastAsia="Arial" w:hAnsi="Arial"/>
          <w:sz w:val="22"/>
          <w:szCs w:val="22"/>
        </w:rPr>
        <w:t xml:space="preserve">The DATABASE_URL environment variable holds the PostgreSQL connection string that the application uses to connect to its primary database. This connection string follows the standard PostgreSQL URL format: postgresql://username:password@host:port/database. For Supabase deployments, the connection string includes the project reference and uses the session pooler endpoint for persistent Node.js connections. The .env.example documentation recommends using port 5432 with the session mode pooler, as the transaction mode pooler (port 6543) does not support prepared statements, which are used by the Drizzle ORM.</w:t>
      </w:r>
    </w:p>
    <w:p>
      <w:pPr>
        <w:spacing w:after="60" w:before="60"/>
      </w:pPr>
    </w:p>
    <w:p>
      <w:pPr>
        <w:spacing w:after="60" w:before="60"/>
      </w:pPr>
      <w:r>
        <w:rPr>
          <w:rFonts w:ascii="Arial" w:cs="Arial" w:eastAsia="Arial" w:hAnsi="Arial"/>
          <w:sz w:val="22"/>
          <w:szCs w:val="22"/>
        </w:rPr>
        <w:t xml:space="preserve">This is the most critical environment variable in the entire application. Without a valid database connection, the server cannot start, users cannot authenticate, data cannot be read or written, and the NEXUS pipeline cannot function at all. The server includes extensive error handling for database connection failures, with user-friendly Hebrew error messages for common issues like connection refused, authentication failures, and missing tables.</w:t>
      </w:r>
    </w:p>
    <w:p>
      <w:pPr>
        <w:spacing w:after="60" w:before="60"/>
      </w:pPr>
    </w:p>
    <w:p>
      <w:pPr>
        <w:pStyle w:val="Heading3"/>
        <w:spacing w:after="120" w:before="240"/>
      </w:pPr>
      <w:r>
        <w:rPr>
          <w:rFonts w:ascii="Arial" w:cs="Arial" w:eastAsia="Arial" w:hAnsi="Arial"/>
          <w:b/>
          <w:bCs/>
          <w:sz w:val="26"/>
          <w:szCs w:val="26"/>
        </w:rPr>
        <w:t xml:space="preserve">ANTHROPIC_API_KEY — Claude AI Provider</w:t>
      </w:r>
    </w:p>
    <w:p>
      <w:pPr>
        <w:spacing w:after="60" w:before="60"/>
      </w:pPr>
    </w:p>
    <w:p>
      <w:pPr>
        <w:spacing w:after="60" w:before="60"/>
      </w:pPr>
      <w:r>
        <w:rPr>
          <w:rFonts w:ascii="Arial" w:cs="Arial" w:eastAsia="Arial" w:hAnsi="Arial"/>
          <w:sz w:val="22"/>
          <w:szCs w:val="22"/>
        </w:rPr>
        <w:t xml:space="preserve">The ANTHROPIC_API_KEY provides authentication for all calls to the Anthropic API. This key can be obtained from the Anthropic console at console.anthropic.com. It is used by the multiProviderAI module to initialize the Anthropic SDK client and authenticate API requests for Claude Sonnet and Claude Haiku models.</w:t>
      </w:r>
    </w:p>
    <w:p>
      <w:pPr>
        <w:spacing w:after="60" w:before="60"/>
      </w:pPr>
    </w:p>
    <w:p>
      <w:pPr>
        <w:spacing w:after="60" w:before="60"/>
      </w:pPr>
      <w:r>
        <w:rPr>
          <w:rFonts w:ascii="Arial" w:cs="Arial" w:eastAsia="Arial" w:hAnsi="Arial"/>
          <w:sz w:val="22"/>
          <w:szCs w:val="22"/>
        </w:rPr>
        <w:t xml:space="preserve">As the primary AI provider for NEXUS, the Anthropic API key is essential for the core department analysis pipeline, task extraction, document generation, and most other AI-powered features. Without this key, NEXUS falls back to alternative providers (OpenAI, Gemini), but the research quality may be affected because Claude is specifically optimized for the structured Hebrew analysis that NEXUS departments require.</w:t>
      </w:r>
    </w:p>
    <w:p>
      <w:pPr>
        <w:spacing w:after="60" w:before="60"/>
      </w:pPr>
    </w:p>
    <w:p>
      <w:pPr>
        <w:pStyle w:val="Heading3"/>
        <w:spacing w:after="120" w:before="240"/>
      </w:pPr>
      <w:r>
        <w:rPr>
          <w:rFonts w:ascii="Arial" w:cs="Arial" w:eastAsia="Arial" w:hAnsi="Arial"/>
          <w:b/>
          <w:bCs/>
          <w:sz w:val="26"/>
          <w:szCs w:val="26"/>
        </w:rPr>
        <w:t xml:space="preserve">OPENAI_API_KEY — GPT-4o Provider</w:t>
      </w:r>
    </w:p>
    <w:p>
      <w:pPr>
        <w:spacing w:after="60" w:before="60"/>
      </w:pPr>
    </w:p>
    <w:p>
      <w:pPr>
        <w:spacing w:after="60" w:before="60"/>
      </w:pPr>
      <w:r>
        <w:rPr>
          <w:rFonts w:ascii="Arial" w:cs="Arial" w:eastAsia="Arial" w:hAnsi="Arial"/>
          <w:sz w:val="22"/>
          <w:szCs w:val="22"/>
        </w:rPr>
        <w:t xml:space="preserve">The OPENAI_API_KEY authenticates calls to the OpenAI API, primarily for GPT-4o. This key is obtained from platform.openai.com. It serves as the secondary fallback provider for most use cases and as the primary provider for quality checks where a diverse second opinion is needed.</w:t>
      </w:r>
    </w:p>
    <w:p>
      <w:pPr>
        <w:spacing w:after="60" w:before="60"/>
      </w:pPr>
    </w:p>
    <w:p>
      <w:pPr>
        <w:spacing w:after="60" w:before="60"/>
      </w:pPr>
      <w:r>
        <w:rPr>
          <w:rFonts w:ascii="Arial" w:cs="Arial" w:eastAsia="Arial" w:hAnsi="Arial"/>
          <w:sz w:val="22"/>
          <w:szCs w:val="22"/>
        </w:rPr>
        <w:t xml:space="preserve">This key is optional. If not configured, the system skips OpenAI in the fallback chain and proceeds to Gemini. For deployments that want to minimize external dependencies or costs, it is possible to run NEXUS with only the Anthropic and Google keys.</w:t>
      </w:r>
    </w:p>
    <w:p>
      <w:pPr>
        <w:spacing w:after="60" w:before="60"/>
      </w:pPr>
    </w:p>
    <w:p>
      <w:pPr>
        <w:pStyle w:val="Heading3"/>
        <w:spacing w:after="120" w:before="240"/>
      </w:pPr>
      <w:r>
        <w:rPr>
          <w:rFonts w:ascii="Arial" w:cs="Arial" w:eastAsia="Arial" w:hAnsi="Arial"/>
          <w:b/>
          <w:bCs/>
          <w:sz w:val="26"/>
          <w:szCs w:val="26"/>
        </w:rPr>
        <w:t xml:space="preserve">GOOGLE_GENERATIVE_AI_API_KEY — Gemini Provider</w:t>
      </w:r>
    </w:p>
    <w:p>
      <w:pPr>
        <w:spacing w:after="60" w:before="60"/>
      </w:pPr>
    </w:p>
    <w:p>
      <w:pPr>
        <w:spacing w:after="60" w:before="60"/>
      </w:pPr>
      <w:r>
        <w:rPr>
          <w:rFonts w:ascii="Arial" w:cs="Arial" w:eastAsia="Arial" w:hAnsi="Arial"/>
          <w:sz w:val="22"/>
          <w:szCs w:val="22"/>
        </w:rPr>
        <w:t xml:space="preserve">The GOOGLE_GENERATIVE_AI_API_KEY authenticates calls to the Google Generative AI API for both Gemini 2.5 Flash and Gemini 3.1 Pro Preview models. This key can be obtained from Google AI Studio at aistudio.google.com. The codebase also checks for the GEMINI_API_KEY variable as a fallback.</w:t>
      </w:r>
    </w:p>
    <w:p>
      <w:pPr>
        <w:spacing w:after="60" w:before="60"/>
      </w:pPr>
    </w:p>
    <w:p>
      <w:pPr>
        <w:spacing w:after="60" w:before="60"/>
      </w:pPr>
      <w:r>
        <w:rPr>
          <w:rFonts w:ascii="Arial" w:cs="Arial" w:eastAsia="Arial" w:hAnsi="Arial"/>
          <w:sz w:val="22"/>
          <w:szCs w:val="22"/>
        </w:rPr>
        <w:t xml:space="preserve">Gemini serves multiple roles in the NEXUS ecosystem: primary for fast tasks (titles, summaries), secondary for deep analysis (department research), and tertiary for everything else. The Google key is the most cost-effective AI provider, making it valuable for organizations trying to minimize API expenses.</w:t>
      </w:r>
    </w:p>
    <w:p>
      <w:pPr>
        <w:spacing w:after="60" w:before="60"/>
      </w:pPr>
    </w:p>
    <w:p>
      <w:pPr>
        <w:pStyle w:val="Heading3"/>
        <w:spacing w:after="120" w:before="240"/>
      </w:pPr>
      <w:r>
        <w:rPr>
          <w:rFonts w:ascii="Arial" w:cs="Arial" w:eastAsia="Arial" w:hAnsi="Arial"/>
          <w:b/>
          <w:bCs/>
          <w:sz w:val="26"/>
          <w:szCs w:val="26"/>
        </w:rPr>
        <w:t xml:space="preserve">PERPLEXITY_API_KEY — Web Research Provider</w:t>
      </w:r>
    </w:p>
    <w:p>
      <w:pPr>
        <w:spacing w:after="60" w:before="60"/>
      </w:pPr>
    </w:p>
    <w:p>
      <w:pPr>
        <w:spacing w:after="60" w:before="60"/>
      </w:pPr>
      <w:r>
        <w:rPr>
          <w:rFonts w:ascii="Arial" w:cs="Arial" w:eastAsia="Arial" w:hAnsi="Arial"/>
          <w:sz w:val="22"/>
          <w:szCs w:val="22"/>
        </w:rPr>
        <w:t xml:space="preserve">The PERPLEXITY_API_KEY authenticates calls to the Perplexity AI API for web research using the Sonar model. This key is obtained from perplexity.ai. Perplexity is unique among the providers because it has live internet access, allowing it to search the web in real-time and return results with citations.</w:t>
      </w:r>
    </w:p>
    <w:p>
      <w:pPr>
        <w:spacing w:after="60" w:before="60"/>
      </w:pPr>
    </w:p>
    <w:p>
      <w:pPr>
        <w:spacing w:after="60" w:before="60"/>
      </w:pPr>
      <w:r>
        <w:rPr>
          <w:rFonts w:ascii="Arial" w:cs="Arial" w:eastAsia="Arial" w:hAnsi="Arial"/>
          <w:sz w:val="22"/>
          <w:szCs w:val="22"/>
        </w:rPr>
        <w:t xml:space="preserve">Without this key, the web intelligence gathering phase of the NEXUS pipeline falls back to N8N (if configured) or proceeds without web research entirely. This significantly reduces the quality of research findings because departments lose access to current market data, competitor information, and community sentiment.</w:t>
      </w:r>
    </w:p>
    <w:p>
      <w:pPr>
        <w:spacing w:after="60" w:before="60"/>
      </w:pPr>
    </w:p>
    <w:p>
      <w:pPr>
        <w:pStyle w:val="Heading3"/>
        <w:spacing w:after="120" w:before="240"/>
      </w:pPr>
      <w:r>
        <w:rPr>
          <w:rFonts w:ascii="Arial" w:cs="Arial" w:eastAsia="Arial" w:hAnsi="Arial"/>
          <w:b/>
          <w:bCs/>
          <w:sz w:val="26"/>
          <w:szCs w:val="26"/>
        </w:rPr>
        <w:t xml:space="preserve">N8N_WEBHOOK_BASE_URL, N8N_API_KEY, N8N_TIMEOUT_MS — Workflow Automation</w:t>
      </w:r>
    </w:p>
    <w:p>
      <w:pPr>
        <w:spacing w:after="60" w:before="60"/>
      </w:pPr>
    </w:p>
    <w:p>
      <w:pPr>
        <w:spacing w:after="60" w:before="60"/>
      </w:pPr>
      <w:r>
        <w:rPr>
          <w:rFonts w:ascii="Arial" w:cs="Arial" w:eastAsia="Arial" w:hAnsi="Arial"/>
          <w:sz w:val="22"/>
          <w:szCs w:val="22"/>
        </w:rPr>
        <w:t xml:space="preserve">These three variables configure the N8N integration. N8N_WEBHOOK_BASE_URL is the base URL for the N8N webhook receiver (e.g., http://localhost:5678/webhook). N8N_API_KEY is an optional authentication token for securing the webhook communication. N8N_TIMEOUT_MS sets the maximum wait time for N8N responses in milliseconds, defaulting to 60000 (one minute).</w:t>
      </w:r>
    </w:p>
    <w:p>
      <w:pPr>
        <w:spacing w:after="60" w:before="60"/>
      </w:pPr>
    </w:p>
    <w:p>
      <w:pPr>
        <w:spacing w:after="60" w:before="60"/>
      </w:pPr>
      <w:r>
        <w:rPr>
          <w:rFonts w:ascii="Arial" w:cs="Arial" w:eastAsia="Arial" w:hAnsi="Arial"/>
          <w:sz w:val="22"/>
          <w:szCs w:val="22"/>
        </w:rPr>
        <w:t xml:space="preserve">N8N is entirely optional. When not configured, the NEXUS pipeline operates without external workflow automation and relies solely on its built-in Perplexity-based web intelligence. The .env.example file includes instructions for starting N8N using Docker Compose.</w:t>
      </w:r>
    </w:p>
    <w:p>
      <w:pPr>
        <w:spacing w:after="60" w:before="60"/>
      </w:pPr>
    </w:p>
    <w:p>
      <w:pPr>
        <w:pStyle w:val="Heading3"/>
        <w:spacing w:after="120" w:before="240"/>
      </w:pPr>
      <w:r>
        <w:rPr>
          <w:rFonts w:ascii="Arial" w:cs="Arial" w:eastAsia="Arial" w:hAnsi="Arial"/>
          <w:b/>
          <w:bCs/>
          <w:sz w:val="26"/>
          <w:szCs w:val="26"/>
        </w:rPr>
        <w:t xml:space="preserve">DEV_SKIP_AUTH, DEV_SECRET, DEV_RESET_PASSWORD — Development Utilities</w:t>
      </w:r>
    </w:p>
    <w:p>
      <w:pPr>
        <w:spacing w:after="60" w:before="60"/>
      </w:pPr>
    </w:p>
    <w:p>
      <w:pPr>
        <w:spacing w:after="60" w:before="60"/>
      </w:pPr>
      <w:r>
        <w:rPr>
          <w:rFonts w:ascii="Arial" w:cs="Arial" w:eastAsia="Arial" w:hAnsi="Arial"/>
          <w:sz w:val="22"/>
          <w:szCs w:val="22"/>
        </w:rPr>
        <w:t xml:space="preserve">These three variables are development-only utilities that should never be set in production environments. DEV_SKIP_AUTH, when set to "1", allows requests with the X-Dev-Bypass header to bypass admin authentication. The server's startup code includes a fatal check that terminates the process if this variable is set when NODE_ENV is "production."</w:t>
      </w:r>
    </w:p>
    <w:p>
      <w:pPr>
        <w:spacing w:after="60" w:before="60"/>
      </w:pPr>
    </w:p>
    <w:p>
      <w:pPr>
        <w:spacing w:after="60" w:before="60"/>
      </w:pPr>
      <w:r>
        <w:rPr>
          <w:rFonts w:ascii="Arial" w:cs="Arial" w:eastAsia="Arial" w:hAnsi="Arial"/>
          <w:sz w:val="22"/>
          <w:szCs w:val="22"/>
        </w:rPr>
        <w:t xml:space="preserve">DEV_SECRET gates access to health check and development utility endpoints. When set, these endpoints become accessible and can be used for database inspection, table creation, and password resets. When not set, the endpoints return 404.</w:t>
      </w:r>
    </w:p>
    <w:p>
      <w:pPr>
        <w:spacing w:after="60" w:before="60"/>
      </w:pPr>
    </w:p>
    <w:p>
      <w:pPr>
        <w:spacing w:after="60" w:before="60"/>
      </w:pPr>
      <w:r>
        <w:rPr>
          <w:rFonts w:ascii="Arial" w:cs="Arial" w:eastAsia="Arial" w:hAnsi="Arial"/>
          <w:sz w:val="22"/>
          <w:szCs w:val="22"/>
        </w:rPr>
        <w:t xml:space="preserve">DEV_RESET_PASSWORD provides the password value used by development password reset endpoints. This allows automated setup scripts to configure admin passwords without manual interaction.</w:t>
      </w:r>
    </w:p>
    <w:p>
      <w:pPr>
        <w:spacing w:after="60" w:before="60"/>
      </w:pPr>
    </w:p>
    <w:p>
      <w:pPr>
        <w:pStyle w:val="Heading3"/>
        <w:spacing w:after="120" w:before="240"/>
      </w:pPr>
      <w:r>
        <w:rPr>
          <w:rFonts w:ascii="Arial" w:cs="Arial" w:eastAsia="Arial" w:hAnsi="Arial"/>
          <w:b/>
          <w:bCs/>
          <w:sz w:val="26"/>
          <w:szCs w:val="26"/>
        </w:rPr>
        <w:t xml:space="preserve">ENCRYPTION_KEY — PII Field Encryption</w:t>
      </w:r>
    </w:p>
    <w:p>
      <w:pPr>
        <w:spacing w:after="60" w:before="60"/>
      </w:pPr>
    </w:p>
    <w:p>
      <w:pPr>
        <w:spacing w:after="60" w:before="60"/>
      </w:pPr>
      <w:r>
        <w:rPr>
          <w:rFonts w:ascii="Arial" w:cs="Arial" w:eastAsia="Arial" w:hAnsi="Arial"/>
          <w:sz w:val="22"/>
          <w:szCs w:val="22"/>
        </w:rPr>
        <w:t xml:space="preserve">The ENCRYPTION_KEY variable holds a 64-character hexadecimal string (32 bytes) used as the AES-256-CBC encryption key for sensitive PII fields. The recommended generation command is "node -e console.log(require('crypto').randomBytes(32).toString('hex'))".</w:t>
      </w:r>
    </w:p>
    <w:p>
      <w:pPr>
        <w:spacing w:after="60" w:before="60"/>
      </w:pPr>
    </w:p>
    <w:p>
      <w:pPr>
        <w:spacing w:after="60" w:before="60"/>
      </w:pPr>
      <w:r>
        <w:rPr>
          <w:rFonts w:ascii="Arial" w:cs="Arial" w:eastAsia="Arial" w:hAnsi="Arial"/>
          <w:sz w:val="22"/>
          <w:szCs w:val="22"/>
        </w:rPr>
        <w:t xml:space="preserve">When this key is not set, the encryption module operates in "legacy mode" where plaintext is stored directly. This is acceptable for development but represents a significant security risk in production, especially given that the encrypted fields contain government identification numbers and insurance numbers for healthcare patients.</w:t>
      </w:r>
    </w:p>
    <w:p>
      <w:pPr>
        <w:spacing w:after="60" w:before="60"/>
      </w:pPr>
    </w:p>
    <w:p>
      <w:pPr>
        <w:pStyle w:val="Heading3"/>
        <w:spacing w:after="120" w:before="240"/>
      </w:pPr>
      <w:r>
        <w:rPr>
          <w:rFonts w:ascii="Arial" w:cs="Arial" w:eastAsia="Arial" w:hAnsi="Arial"/>
          <w:b/>
          <w:bCs/>
          <w:sz w:val="26"/>
          <w:szCs w:val="26"/>
        </w:rPr>
        <w:t xml:space="preserve">KANBAN_BOT_API_KEY — Bot API Authentication</w:t>
      </w:r>
    </w:p>
    <w:p>
      <w:pPr>
        <w:spacing w:after="60" w:before="60"/>
      </w:pPr>
    </w:p>
    <w:p>
      <w:pPr>
        <w:spacing w:after="60" w:before="60"/>
      </w:pPr>
      <w:r>
        <w:rPr>
          <w:rFonts w:ascii="Arial" w:cs="Arial" w:eastAsia="Arial" w:hAnsi="Arial"/>
          <w:sz w:val="22"/>
          <w:szCs w:val="22"/>
        </w:rPr>
        <w:t xml:space="preserve">The KANBAN_BOT_API_KEY variable holds the API key used by the Bot API endpoint for authenticating automated task status updates. Like the encryption key, it should be generated using "node -e console.log(require('crypto').randomBytes(32).toString('hex'))".</w:t>
      </w:r>
    </w:p>
    <w:p>
      <w:pPr>
        <w:spacing w:after="60" w:before="60"/>
      </w:pPr>
    </w:p>
    <w:p>
      <w:pPr>
        <w:spacing w:after="60" w:before="60"/>
      </w:pPr>
      <w:r>
        <w:rPr>
          <w:rFonts w:ascii="Arial" w:cs="Arial" w:eastAsia="Arial" w:hAnsi="Arial"/>
          <w:sz w:val="22"/>
          <w:szCs w:val="22"/>
        </w:rPr>
        <w:t xml:space="preserve">When this key is not set, the Bot API endpoint returns 503 Service Unavailable, preventing any automated task updates. The key is referenced in Claude Code task prompts via the $KANBAN_BOT_API_KEY environment variable in the curl command.</w:t>
      </w:r>
    </w:p>
    <w:p>
      <w:pPr>
        <w:spacing w:after="60" w:before="60"/>
      </w:pPr>
    </w:p>
    <w:p>
      <w:pPr>
        <w:pStyle w:val="Heading3"/>
        <w:spacing w:after="120" w:before="240"/>
      </w:pPr>
      <w:r>
        <w:rPr>
          <w:rFonts w:ascii="Arial" w:cs="Arial" w:eastAsia="Arial" w:hAnsi="Arial"/>
          <w:b/>
          <w:bCs/>
          <w:sz w:val="26"/>
          <w:szCs w:val="26"/>
        </w:rPr>
        <w:t xml:space="preserve">RESEND_API_KEY, RESEND_FROM — Email Service</w:t>
      </w:r>
    </w:p>
    <w:p>
      <w:pPr>
        <w:spacing w:after="60" w:before="60"/>
      </w:pPr>
    </w:p>
    <w:p>
      <w:pPr>
        <w:spacing w:after="60" w:before="60"/>
      </w:pPr>
      <w:r>
        <w:rPr>
          <w:rFonts w:ascii="Arial" w:cs="Arial" w:eastAsia="Arial" w:hAnsi="Arial"/>
          <w:sz w:val="22"/>
          <w:szCs w:val="22"/>
        </w:rPr>
        <w:t xml:space="preserve">The RESEND_API_KEY authenticates with the Resend email delivery service for sending invitation emails. RESEND_FROM optionally specifies the sender address, which should follow the format "Name &lt;email@domain.com&gt;". If RESEND_FROM is not set, the system uses Resend's default onboarding address.</w:t>
      </w:r>
    </w:p>
    <w:p>
      <w:pPr>
        <w:spacing w:after="60" w:before="60"/>
      </w:pPr>
    </w:p>
    <w:p>
      <w:pPr>
        <w:spacing w:after="60" w:before="60"/>
      </w:pPr>
      <w:r>
        <w:rPr>
          <w:rFonts w:ascii="Arial" w:cs="Arial" w:eastAsia="Arial" w:hAnsi="Arial"/>
          <w:sz w:val="22"/>
          <w:szCs w:val="22"/>
        </w:rPr>
        <w:t xml:space="preserve">These variables are optional. Without them, invitation email features are disabled but the rest of the application functions normally.</w:t>
      </w:r>
    </w:p>
    <w:p>
      <w:pPr>
        <w:spacing w:after="60" w:before="60"/>
      </w:pPr>
    </w:p>
    <w:p>
      <w:pPr>
        <w:pStyle w:val="Heading3"/>
        <w:spacing w:after="120" w:before="240"/>
      </w:pPr>
      <w:r>
        <w:rPr>
          <w:rFonts w:ascii="Arial" w:cs="Arial" w:eastAsia="Arial" w:hAnsi="Arial"/>
          <w:b/>
          <w:bCs/>
          <w:sz w:val="26"/>
          <w:szCs w:val="26"/>
        </w:rPr>
        <w:t xml:space="preserve">GOOGLE_CALENDAR_CLIENT_ID, GOOGLE_CALENDAR_CLIENT_SECRET — Calendar Integration</w:t>
      </w:r>
    </w:p>
    <w:p>
      <w:pPr>
        <w:spacing w:after="60" w:before="60"/>
      </w:pPr>
    </w:p>
    <w:p>
      <w:pPr>
        <w:spacing w:after="60" w:before="60"/>
      </w:pPr>
      <w:r>
        <w:rPr>
          <w:rFonts w:ascii="Arial" w:cs="Arial" w:eastAsia="Arial" w:hAnsi="Arial"/>
          <w:sz w:val="22"/>
          <w:szCs w:val="22"/>
        </w:rPr>
        <w:t xml:space="preserve">These two variables configure the Google OAuth 2.0 client for calendar integration. They are obtained from the Google Cloud Console when creating an OAuth client ID. The redirect URIs must be configured in the Google Console to match the application's callback endpoints.</w:t>
      </w:r>
    </w:p>
    <w:p>
      <w:pPr>
        <w:spacing w:after="60" w:before="60"/>
      </w:pPr>
    </w:p>
    <w:p>
      <w:pPr>
        <w:spacing w:after="60" w:before="60"/>
      </w:pPr>
      <w:r>
        <w:rPr>
          <w:rFonts w:ascii="Arial" w:cs="Arial" w:eastAsia="Arial" w:hAnsi="Arial"/>
          <w:sz w:val="22"/>
          <w:szCs w:val="22"/>
        </w:rPr>
        <w:t xml:space="preserve">Calendar integration is optional and primarily serves the user-facing portion of MemorAid rather than the NEXUS pipeline.</w:t>
      </w:r>
    </w:p>
    <w:p>
      <w:pPr>
        <w:spacing w:after="60" w:before="60"/>
      </w:pPr>
    </w:p>
    <w:p>
      <w:pPr>
        <w:pStyle w:val="Heading3"/>
        <w:spacing w:after="120" w:before="240"/>
      </w:pPr>
      <w:r>
        <w:rPr>
          <w:rFonts w:ascii="Arial" w:cs="Arial" w:eastAsia="Arial" w:hAnsi="Arial"/>
          <w:b/>
          <w:bCs/>
          <w:sz w:val="26"/>
          <w:szCs w:val="26"/>
        </w:rPr>
        <w:t xml:space="preserve">APP_BASE_URL, API_PORT, VITE_PORT — Application URLs</w:t>
      </w:r>
    </w:p>
    <w:p>
      <w:pPr>
        <w:spacing w:after="60" w:before="60"/>
      </w:pPr>
    </w:p>
    <w:p>
      <w:pPr>
        <w:spacing w:after="60" w:before="60"/>
      </w:pPr>
      <w:r>
        <w:rPr>
          <w:rFonts w:ascii="Arial" w:cs="Arial" w:eastAsia="Arial" w:hAnsi="Arial"/>
          <w:sz w:val="22"/>
          <w:szCs w:val="22"/>
        </w:rPr>
        <w:t xml:space="preserve">APP_BASE_URL specifies the public-facing URL of the application, used for constructing invite links, Stripe callback URLs, and OAuth redirect URIs. In development, this is typically http://localhost:5173.</w:t>
      </w:r>
    </w:p>
    <w:p>
      <w:pPr>
        <w:spacing w:after="60" w:before="60"/>
      </w:pPr>
    </w:p>
    <w:p>
      <w:pPr>
        <w:spacing w:after="60" w:before="60"/>
      </w:pPr>
      <w:r>
        <w:rPr>
          <w:rFonts w:ascii="Arial" w:cs="Arial" w:eastAsia="Arial" w:hAnsi="Arial"/>
          <w:sz w:val="22"/>
          <w:szCs w:val="22"/>
        </w:rPr>
        <w:t xml:space="preserve">API_PORT specifies the port on which the Express server listens, defaulting to 3001. VITE_PORT specifies the port for the Vite development server, defaulting to 5173. These defaults align with the standard Vite and Express development setup.</w:t>
      </w:r>
    </w:p>
    <w:p>
      <w:pPr>
        <w:spacing w:after="60" w:before="60"/>
      </w:pPr>
    </w:p>
    <w:p>
      <w:pPr>
        <w:pBdr>
          <w:bottom w:val="single" w:color="CCCCCC" w:sz="3" w:space="1"/>
        </w:pBdr>
        <w:spacing w:after="120" w:before="120"/>
      </w:pPr>
    </w:p>
    <w:p>
      <w:pPr>
        <w:spacing w:after="60" w:before="60"/>
      </w:pPr>
    </w:p>
    <w:p>
      <w:pPr>
        <w:pStyle w:val="Heading2"/>
        <w:spacing w:after="160" w:before="300"/>
      </w:pPr>
      <w:r>
        <w:rPr>
          <w:rFonts w:ascii="Arial" w:cs="Arial" w:eastAsia="Arial" w:hAnsi="Arial"/>
          <w:b/>
          <w:bCs/>
          <w:sz w:val="30"/>
          <w:szCs w:val="30"/>
        </w:rPr>
        <w:t xml:space="preserve">Part 11: What Works, What Does Not — An Honest Assessment</w:t>
      </w:r>
    </w:p>
    <w:p>
      <w:pPr>
        <w:spacing w:after="60" w:before="60"/>
      </w:pPr>
    </w:p>
    <w:p>
      <w:pPr>
        <w:pStyle w:val="Heading3"/>
        <w:spacing w:after="120" w:before="240"/>
      </w:pPr>
      <w:r>
        <w:rPr>
          <w:rFonts w:ascii="Arial" w:cs="Arial" w:eastAsia="Arial" w:hAnsi="Arial"/>
          <w:b/>
          <w:bCs/>
          <w:sz w:val="26"/>
          <w:szCs w:val="26"/>
        </w:rPr>
        <w:t xml:space="preserve">Automation Rules Engine — Defined but Partially Wired</w:t>
      </w:r>
    </w:p>
    <w:p>
      <w:pPr>
        <w:spacing w:after="60" w:before="60"/>
      </w:pPr>
    </w:p>
    <w:p>
      <w:pPr>
        <w:spacing w:after="60" w:before="60"/>
      </w:pPr>
      <w:r>
        <w:rPr>
          <w:rFonts w:ascii="Arial" w:cs="Arial" w:eastAsia="Arial" w:hAnsi="Arial"/>
          <w:sz w:val="22"/>
          <w:szCs w:val="22"/>
        </w:rPr>
        <w:t xml:space="preserve">The automation rules engine has a solid architectural foundation. The database schema is well-designed with appropriate fields for trigger types, conditions, actions, priorities, and active states. The CRUD endpoints are fully functional, and the admin interface can manage rules. The rule structure supports sophisticated multi-step workflows through rule chaining.</w:t>
      </w:r>
    </w:p>
    <w:p>
      <w:pPr>
        <w:spacing w:after="60" w:before="60"/>
      </w:pPr>
    </w:p>
    <w:p>
      <w:pPr>
        <w:spacing w:after="60" w:before="60"/>
      </w:pPr>
      <w:r>
        <w:rPr>
          <w:rFonts w:ascii="Arial" w:cs="Arial" w:eastAsia="Arial" w:hAnsi="Arial"/>
          <w:sz w:val="22"/>
          <w:szCs w:val="22"/>
        </w:rPr>
        <w:t xml:space="preserve">What needs work is the execution layer. The trigger handlers that should fire when NEXUS events occur are not fully connected to the rules evaluation engine. This means that while rules can be defined, they may not execute automatically in response to pipeline events. Implementing the event emission at each pipeline step (brief status change, task creation, sprint creation) and a rules evaluation function that queries matching rules and dispatches their actions would complete the system.</w:t>
      </w:r>
    </w:p>
    <w:p>
      <w:pPr>
        <w:spacing w:after="60" w:before="60"/>
      </w:pPr>
    </w:p>
    <w:p>
      <w:pPr>
        <w:spacing w:after="60" w:before="60"/>
      </w:pPr>
      <w:r>
        <w:rPr>
          <w:rFonts w:ascii="Arial" w:cs="Arial" w:eastAsia="Arial" w:hAnsi="Arial"/>
          <w:sz w:val="22"/>
          <w:szCs w:val="22"/>
        </w:rPr>
        <w:t xml:space="preserve">The condition evaluation logic also needs attention. The conditionJson field supports arbitrary JSON conditions, but the evaluation engine that interprets these conditions and determines whether they match is not fully implemented. A simple condition evaluator that supports field matching, comparison operators, and basic logical operations would cover most use cases.</w:t>
      </w:r>
    </w:p>
    <w:p>
      <w:pPr>
        <w:spacing w:after="60" w:before="60"/>
      </w:pPr>
    </w:p>
    <w:p>
      <w:pPr>
        <w:pStyle w:val="Heading3"/>
        <w:spacing w:after="120" w:before="240"/>
      </w:pPr>
      <w:r>
        <w:rPr>
          <w:rFonts w:ascii="Arial" w:cs="Arial" w:eastAsia="Arial" w:hAnsi="Arial"/>
          <w:b/>
          <w:bCs/>
          <w:sz w:val="26"/>
          <w:szCs w:val="26"/>
        </w:rPr>
        <w:t xml:space="preserve">N8N Integration — Bridge Code Works, External Workflows Not Built</w:t>
      </w:r>
    </w:p>
    <w:p>
      <w:pPr>
        <w:spacing w:after="60" w:before="60"/>
      </w:pPr>
    </w:p>
    <w:p>
      <w:pPr>
        <w:spacing w:after="60" w:before="60"/>
      </w:pPr>
      <w:r>
        <w:rPr>
          <w:rFonts w:ascii="Arial" w:cs="Arial" w:eastAsia="Arial" w:hAnsi="Arial"/>
          <w:sz w:val="22"/>
          <w:szCs w:val="22"/>
        </w:rPr>
        <w:t xml:space="preserve">The N8N bridge is one of the more cleanly implemented components in the NEXUS codebase. The TypeScript module is well-structured, the webhook trigger mechanism works correctly, the timeout handling is robust, the fallback to direct API calls is seamless, and the source normalization produces consistent WebSource objects.</w:t>
      </w:r>
    </w:p>
    <w:p>
      <w:pPr>
        <w:spacing w:after="60" w:before="60"/>
      </w:pPr>
    </w:p>
    <w:p>
      <w:pPr>
        <w:spacing w:after="60" w:before="60"/>
      </w:pPr>
      <w:r>
        <w:rPr>
          <w:rFonts w:ascii="Arial" w:cs="Arial" w:eastAsia="Arial" w:hAnsi="Arial"/>
          <w:sz w:val="22"/>
          <w:szCs w:val="22"/>
        </w:rPr>
        <w:t xml:space="preserve">What has not been built are the actual N8N workflow definitions. These are external artifacts that must be created within the N8N platform itself. Creating and testing the four research workflows (GitHub, Reddit, YouTube, competitive analysis) is a significant effort that requires domain expertise in N8N workflow design, access to the relevant APIs (GitHub API, Reddit API, YouTube Data API), and testing against real research queries. The bridge is ready and waiting; the workflows need to be created.</w:t>
      </w:r>
    </w:p>
    <w:p>
      <w:pPr>
        <w:spacing w:after="60" w:before="60"/>
      </w:pPr>
    </w:p>
    <w:p>
      <w:pPr>
        <w:pStyle w:val="Heading3"/>
        <w:spacing w:after="120" w:before="240"/>
      </w:pPr>
      <w:r>
        <w:rPr>
          <w:rFonts w:ascii="Arial" w:cs="Arial" w:eastAsia="Arial" w:hAnsi="Arial"/>
          <w:b/>
          <w:bCs/>
          <w:sz w:val="26"/>
          <w:szCs w:val="26"/>
        </w:rPr>
        <w:t xml:space="preserve">Bot API — Fully Functional</w:t>
      </w:r>
    </w:p>
    <w:p>
      <w:pPr>
        <w:spacing w:after="60" w:before="60"/>
      </w:pPr>
    </w:p>
    <w:p>
      <w:pPr>
        <w:spacing w:after="60" w:before="60"/>
      </w:pPr>
      <w:r>
        <w:rPr>
          <w:rFonts w:ascii="Arial" w:cs="Arial" w:eastAsia="Arial" w:hAnsi="Arial"/>
          <w:sz w:val="22"/>
          <w:szCs w:val="22"/>
        </w:rPr>
        <w:t xml:space="preserve">The Bot API is one of the most complete subsystems in NEXUS. The endpoint is implemented, tested, and used in production. The authentication mechanism works correctly with the Bearer token pattern. The task movement logic properly validates the column name, looks up the column ID, and updates the task record. The curl command embedded in task prompts provides Claude Code with everything it needs to call the endpoint.</w:t>
      </w:r>
    </w:p>
    <w:p>
      <w:pPr>
        <w:spacing w:after="60" w:before="60"/>
      </w:pPr>
    </w:p>
    <w:p>
      <w:pPr>
        <w:spacing w:after="60" w:before="60"/>
      </w:pPr>
      <w:r>
        <w:rPr>
          <w:rFonts w:ascii="Arial" w:cs="Arial" w:eastAsia="Arial" w:hAnsi="Arial"/>
          <w:sz w:val="22"/>
          <w:szCs w:val="22"/>
        </w:rPr>
        <w:t xml:space="preserve">The only meaningful improvement would be adding rate limiting to the bot endpoint to protect against key compromise, and potentially adding audit logging to track which tasks were moved by the bot versus by human administrators.</w:t>
      </w:r>
    </w:p>
    <w:p>
      <w:pPr>
        <w:spacing w:after="60" w:before="60"/>
      </w:pPr>
    </w:p>
    <w:p>
      <w:pPr>
        <w:pStyle w:val="Heading3"/>
        <w:spacing w:after="120" w:before="240"/>
      </w:pPr>
      <w:r>
        <w:rPr>
          <w:rFonts w:ascii="Arial" w:cs="Arial" w:eastAsia="Arial" w:hAnsi="Arial"/>
          <w:b/>
          <w:bCs/>
          <w:sz w:val="26"/>
          <w:szCs w:val="26"/>
        </w:rPr>
        <w:t xml:space="preserve">Security — Authentication Works, Middleware Could Be Tighter</w:t>
      </w:r>
    </w:p>
    <w:p>
      <w:pPr>
        <w:spacing w:after="60" w:before="60"/>
      </w:pPr>
    </w:p>
    <w:p>
      <w:pPr>
        <w:spacing w:after="60" w:before="60"/>
      </w:pPr>
      <w:r>
        <w:rPr>
          <w:rFonts w:ascii="Arial" w:cs="Arial" w:eastAsia="Arial" w:hAnsi="Arial"/>
          <w:sz w:val="22"/>
          <w:szCs w:val="22"/>
        </w:rPr>
        <w:t xml:space="preserve">The admin authentication system is well-implemented with bcrypt password hashing, cryptographically random session tokens, HttpOnly cookies, proper session expiration, and session refresh capabilities. The development bypass includes a production safety guard that terminates the server if DEV_SKIP_AUTH is set in production.</w:t>
      </w:r>
    </w:p>
    <w:p>
      <w:pPr>
        <w:spacing w:after="60" w:before="60"/>
      </w:pPr>
    </w:p>
    <w:p>
      <w:pPr>
        <w:spacing w:after="60" w:before="60"/>
      </w:pPr>
      <w:r>
        <w:rPr>
          <w:rFonts w:ascii="Arial" w:cs="Arial" w:eastAsia="Arial" w:hAnsi="Arial"/>
          <w:sz w:val="22"/>
          <w:szCs w:val="22"/>
        </w:rPr>
        <w:t xml:space="preserve">The security headers middleware provides a comprehensive set of protections including CSP, HSTS, X-Frame-Options, and X-Content-Type-Options. Rate limiting is configured for the most sensitive endpoints.</w:t>
      </w:r>
    </w:p>
    <w:p>
      <w:pPr>
        <w:spacing w:after="60" w:before="60"/>
      </w:pPr>
    </w:p>
    <w:p>
      <w:pPr>
        <w:spacing w:after="60" w:before="60"/>
      </w:pPr>
      <w:r>
        <w:rPr>
          <w:rFonts w:ascii="Arial" w:cs="Arial" w:eastAsia="Arial" w:hAnsi="Arial"/>
          <w:sz w:val="22"/>
          <w:szCs w:val="22"/>
        </w:rPr>
        <w:t xml:space="preserve">Areas for improvement include: implementing CSRF token validation for state-changing requests (the SameSite=Lax cookie setting provides partial protection but is not a complete CSRF defense), adding rate limiting to all admin API endpoints (not just login and specific paths), implementing IP-based blocking for repeated authentication failures, adding audit logging for all admin authentication events, and potentially implementing two-factor authentication for super admin accounts.</w:t>
      </w:r>
    </w:p>
    <w:p>
      <w:pPr>
        <w:spacing w:after="60" w:before="60"/>
      </w:pPr>
    </w:p>
    <w:p>
      <w:pPr>
        <w:pStyle w:val="Heading3"/>
        <w:spacing w:after="120" w:before="240"/>
      </w:pPr>
      <w:r>
        <w:rPr>
          <w:rFonts w:ascii="Arial" w:cs="Arial" w:eastAsia="Arial" w:hAnsi="Arial"/>
          <w:b/>
          <w:bCs/>
          <w:sz w:val="26"/>
          <w:szCs w:val="26"/>
        </w:rPr>
        <w:t xml:space="preserve">Encryption — Working for PII Fields</w:t>
      </w:r>
    </w:p>
    <w:p>
      <w:pPr>
        <w:spacing w:after="60" w:before="60"/>
      </w:pPr>
    </w:p>
    <w:p>
      <w:pPr>
        <w:spacing w:after="60" w:before="60"/>
      </w:pPr>
      <w:r>
        <w:rPr>
          <w:rFonts w:ascii="Arial" w:cs="Arial" w:eastAsia="Arial" w:hAnsi="Arial"/>
          <w:sz w:val="22"/>
          <w:szCs w:val="22"/>
        </w:rPr>
        <w:t xml:space="preserve">The field-level encryption system is well-implemented with AES-256-CBC, random IVs per encryption operation, and graceful degradation when the key is not configured. The binary buffer encryption for file storage is also functional.</w:t>
      </w:r>
    </w:p>
    <w:p>
      <w:pPr>
        <w:spacing w:after="60" w:before="60"/>
      </w:pPr>
    </w:p>
    <w:p>
      <w:pPr>
        <w:spacing w:after="60" w:before="60"/>
      </w:pPr>
      <w:r>
        <w:rPr>
          <w:rFonts w:ascii="Arial" w:cs="Arial" w:eastAsia="Arial" w:hAnsi="Arial"/>
          <w:sz w:val="22"/>
          <w:szCs w:val="22"/>
        </w:rPr>
        <w:t xml:space="preserve">The main gaps are the lack of key rotation support and the absence of encryption for additional sensitive fields beyond idNumber and insuranceNumber. Medical notes, diagnosis information, and medication details could also benefit from encryption at rest. Additionally, there is no mechanism to verify that all existing data has been encrypted (as opposed to legacy plaintext), which could lead to inconsistent protection levels across the database.</w:t>
      </w:r>
    </w:p>
    <w:p>
      <w:pPr>
        <w:spacing w:after="60" w:before="60"/>
      </w:pPr>
    </w:p>
    <w:p>
      <w:pPr>
        <w:pStyle w:val="Heading3"/>
        <w:spacing w:after="120" w:before="240"/>
      </w:pPr>
      <w:r>
        <w:rPr>
          <w:rFonts w:ascii="Arial" w:cs="Arial" w:eastAsia="Arial" w:hAnsi="Arial"/>
          <w:b/>
          <w:bCs/>
          <w:sz w:val="26"/>
          <w:szCs w:val="26"/>
        </w:rPr>
        <w:t xml:space="preserve">Cost Tracking — Working Per-Call</w:t>
      </w:r>
    </w:p>
    <w:p>
      <w:pPr>
        <w:spacing w:after="60" w:before="60"/>
      </w:pPr>
    </w:p>
    <w:p>
      <w:pPr>
        <w:spacing w:after="60" w:before="60"/>
      </w:pPr>
      <w:r>
        <w:rPr>
          <w:rFonts w:ascii="Arial" w:cs="Arial" w:eastAsia="Arial" w:hAnsi="Arial"/>
          <w:sz w:val="22"/>
          <w:szCs w:val="22"/>
        </w:rPr>
        <w:t xml:space="preserve">The cost tracking system is functional and logs every AI API call with accurate token counts and calculated costs. The per-model pricing is maintained in code and updated when provider pricing changes. The brief-level cost aggregation provides useful summary data. The daily summary table enables efficient reporting.</w:t>
      </w:r>
    </w:p>
    <w:p>
      <w:pPr>
        <w:spacing w:after="60" w:before="60"/>
      </w:pPr>
    </w:p>
    <w:p>
      <w:pPr>
        <w:spacing w:after="60" w:before="60"/>
      </w:pPr>
      <w:r>
        <w:rPr>
          <w:rFonts w:ascii="Arial" w:cs="Arial" w:eastAsia="Arial" w:hAnsi="Arial"/>
          <w:sz w:val="22"/>
          <w:szCs w:val="22"/>
        </w:rPr>
        <w:t xml:space="preserve">The main limitation is that cost tracking happens after the fact, meaning there is no budget enforcement mechanism that could prevent a research brief from being started if the estimated cost exceeds a configurable threshold. Adding pre-execution cost estimation and budget limits would provide better financial control for organizations running many briefs.</w:t>
      </w:r>
    </w:p>
    <w:p>
      <w:pPr>
        <w:spacing w:after="60" w:before="60"/>
      </w:pPr>
    </w:p>
    <w:p>
      <w:pPr>
        <w:pStyle w:val="Heading3"/>
        <w:spacing w:after="120" w:before="240"/>
      </w:pPr>
      <w:r>
        <w:rPr>
          <w:rFonts w:ascii="Arial" w:cs="Arial" w:eastAsia="Arial" w:hAnsi="Arial"/>
          <w:b/>
          <w:bCs/>
          <w:sz w:val="26"/>
          <w:szCs w:val="26"/>
        </w:rPr>
        <w:t xml:space="preserve">Error Handling — Mostly Works but Silent Failures Exist</w:t>
      </w:r>
    </w:p>
    <w:p>
      <w:pPr>
        <w:spacing w:after="60" w:before="60"/>
      </w:pPr>
    </w:p>
    <w:p>
      <w:pPr>
        <w:spacing w:after="60" w:before="60"/>
      </w:pPr>
      <w:r>
        <w:rPr>
          <w:rFonts w:ascii="Arial" w:cs="Arial" w:eastAsia="Arial" w:hAnsi="Arial"/>
          <w:sz w:val="22"/>
          <w:szCs w:val="22"/>
        </w:rPr>
        <w:t xml:space="preserve">The error handling architecture is fundamentally sound. The multi-provider fallback system is robust and well-tested. The SSE error recovery with brief reset ensures that administrators can always retry failed operations. The per-department failure isolation ensures that individual failures do not cascade across the pipeline.</w:t>
      </w:r>
    </w:p>
    <w:p>
      <w:pPr>
        <w:spacing w:after="60" w:before="60"/>
      </w:pPr>
    </w:p>
    <w:p>
      <w:pPr>
        <w:spacing w:after="60" w:before="60"/>
      </w:pPr>
      <w:r>
        <w:rPr>
          <w:rFonts w:ascii="Arial" w:cs="Arial" w:eastAsia="Arial" w:hAnsi="Arial"/>
          <w:sz w:val="22"/>
          <w:szCs w:val="22"/>
        </w:rPr>
        <w:t xml:space="preserve">The main concern is the prevalence of silent error swallowing throughout the codebase. While this prevents cascading failures, it can mask systemic issues that should be investigated. Implementing structured logging with severity levels and alerting thresholds would provide visibility into these silent failures without changing the non-blocking behavior.</w:t>
      </w:r>
    </w:p>
    <w:p>
      <w:pPr>
        <w:spacing w:after="60" w:before="60"/>
      </w:pPr>
    </w:p>
    <w:p>
      <w:pPr>
        <w:pStyle w:val="Heading3"/>
        <w:spacing w:after="120" w:before="240"/>
      </w:pPr>
      <w:r>
        <w:rPr>
          <w:rFonts w:ascii="Arial" w:cs="Arial" w:eastAsia="Arial" w:hAnsi="Arial"/>
          <w:b/>
          <w:bCs/>
          <w:sz w:val="26"/>
          <w:szCs w:val="26"/>
        </w:rPr>
        <w:t xml:space="preserve">External API Integrations — All Working with Fallbacks</w:t>
      </w:r>
    </w:p>
    <w:p>
      <w:pPr>
        <w:spacing w:after="60" w:before="60"/>
      </w:pPr>
    </w:p>
    <w:p>
      <w:pPr>
        <w:spacing w:after="60" w:before="60"/>
      </w:pPr>
      <w:r>
        <w:rPr>
          <w:rFonts w:ascii="Arial" w:cs="Arial" w:eastAsia="Arial" w:hAnsi="Arial"/>
          <w:sz w:val="22"/>
          <w:szCs w:val="22"/>
        </w:rPr>
        <w:t xml:space="preserve">All five AI provider integrations (Anthropic, OpenAI, Google Gemini, Google Gemini 3.1, Perplexity) are fully functional and tested in production. The model routing system correctly selects the best provider per use case and falls back through alternatives when providers are unavailable. The cost calculation and logging work for all providers.</w:t>
      </w:r>
    </w:p>
    <w:p>
      <w:pPr>
        <w:spacing w:after="60" w:before="60"/>
      </w:pPr>
    </w:p>
    <w:p>
      <w:pPr>
        <w:spacing w:after="60" w:before="60"/>
      </w:pPr>
      <w:r>
        <w:rPr>
          <w:rFonts w:ascii="Arial" w:cs="Arial" w:eastAsia="Arial" w:hAnsi="Arial"/>
          <w:sz w:val="22"/>
          <w:szCs w:val="22"/>
        </w:rPr>
        <w:t xml:space="preserve">The Resend email integration and Google Calendar integration are functional but peripheral to the NEXUS system. The N8N integration's bridge code works perfectly, but as noted above, the external workflow definitions have not been created.</w:t>
      </w:r>
    </w:p>
    <w:p>
      <w:pPr>
        <w:spacing w:after="60" w:before="60"/>
      </w:pPr>
    </w:p>
    <w:p>
      <w:pPr>
        <w:spacing w:after="60" w:before="60"/>
      </w:pPr>
      <w:r>
        <w:rPr>
          <w:rFonts w:ascii="Arial" w:cs="Arial" w:eastAsia="Arial" w:hAnsi="Arial"/>
          <w:sz w:val="22"/>
          <w:szCs w:val="22"/>
        </w:rPr>
        <w:t xml:space="preserve">The most significant operational risk across all integrations is the dependency on external provider availability and pricing stability. If Anthropic changes Claude's pricing or introduces breaking API changes, the system needs manual updates to the PRICING constant and potentially to the SDK client configuration. Monitoring provider status pages and API changelogs is an ongoing operational responsibility that falls outside the scope of the NEXUS codebase.</w:t>
      </w:r>
    </w:p>
    <w:p>
      <w:pPr>
        <w:spacing w:after="60" w:before="60"/>
      </w:pPr>
    </w:p>
    <w:p>
      <w:pPr>
        <w:pBdr>
          <w:bottom w:val="single" w:color="CCCCCC" w:sz="3" w:space="1"/>
        </w:pBdr>
        <w:spacing w:after="120" w:before="120"/>
      </w:pPr>
    </w:p>
    <w:p>
      <w:pPr>
        <w:spacing w:after="60" w:before="60"/>
      </w:pPr>
    </w:p>
    <w:p>
      <w:pPr>
        <w:pStyle w:val="Heading2"/>
        <w:spacing w:after="160" w:before="300"/>
      </w:pPr>
      <w:r>
        <w:rPr>
          <w:rFonts w:ascii="Arial" w:cs="Arial" w:eastAsia="Arial" w:hAnsi="Arial"/>
          <w:b/>
          <w:bCs/>
          <w:sz w:val="30"/>
          <w:szCs w:val="30"/>
        </w:rPr>
        <w:t xml:space="preserve">Conclusion: The Operational State of NEXUS</w:t>
      </w:r>
    </w:p>
    <w:p>
      <w:pPr>
        <w:spacing w:after="60" w:before="60"/>
      </w:pPr>
    </w:p>
    <w:p>
      <w:pPr>
        <w:spacing w:after="60" w:before="60"/>
      </w:pPr>
      <w:r>
        <w:rPr>
          <w:rFonts w:ascii="Arial" w:cs="Arial" w:eastAsia="Arial" w:hAnsi="Arial"/>
          <w:sz w:val="22"/>
          <w:szCs w:val="22"/>
        </w:rPr>
        <w:t xml:space="preserve">The NEXUS Virtual Software House represents an ambitious and largely successful attempt to build a comprehensive AI-orchestrated research and development pipeline within a healthcare SaaS application. The operational infrastructure described in this document — automation rules, N8N integration, Bot API, security architecture, encryption, RBAC, external service integrations, error handling, and cost tracking — provides a solid foundation for running a multi-model, multi-department AI research pipeline in a production environment.</w:t>
      </w:r>
    </w:p>
    <w:p>
      <w:pPr>
        <w:spacing w:after="60" w:before="60"/>
      </w:pPr>
    </w:p>
    <w:p>
      <w:pPr>
        <w:spacing w:after="60" w:before="60"/>
      </w:pPr>
      <w:r>
        <w:rPr>
          <w:rFonts w:ascii="Arial" w:cs="Arial" w:eastAsia="Arial" w:hAnsi="Arial"/>
          <w:sz w:val="22"/>
          <w:szCs w:val="22"/>
        </w:rPr>
        <w:t xml:space="preserve">The system's greatest strength is its resilience. No single point of failure can take down the entire pipeline. AI providers fall back gracefully, web intelligence degrades rather than fails, department agents are isolated from each other, and fatal errors reset the system to a retryable state. This resilience is critical for a system that coordinates calls to five different AI providers across thirteen different departments, with web research and external workflow automation running in parallel.</w:t>
      </w:r>
    </w:p>
    <w:p>
      <w:pPr>
        <w:spacing w:after="60" w:before="60"/>
      </w:pPr>
    </w:p>
    <w:p>
      <w:pPr>
        <w:spacing w:after="60" w:before="60"/>
      </w:pPr>
      <w:r>
        <w:rPr>
          <w:rFonts w:ascii="Arial" w:cs="Arial" w:eastAsia="Arial" w:hAnsi="Arial"/>
          <w:sz w:val="22"/>
          <w:szCs w:val="22"/>
        </w:rPr>
        <w:t xml:space="preserve">The system's greatest area for improvement is in completing the partially-built subsystems. The automation rules engine needs its execution layer connected. The N8N integration needs actual workflow definitions. The cost tracking needs budget enforcement. The error handling needs structured logging and alerting. None of these are fundamental architectural changes; they are implementation completions that build on the existing, well-designed foundations.</w:t>
      </w:r>
    </w:p>
    <w:p>
      <w:pPr>
        <w:spacing w:after="60" w:before="60"/>
      </w:pPr>
    </w:p>
    <w:p>
      <w:pPr>
        <w:spacing w:after="60" w:before="60"/>
      </w:pPr>
      <w:r>
        <w:rPr>
          <w:rFonts w:ascii="Arial" w:cs="Arial" w:eastAsia="Arial" w:hAnsi="Arial"/>
          <w:sz w:val="22"/>
          <w:szCs w:val="22"/>
        </w:rPr>
        <w:t xml:space="preserve">For a system built entirely by AI development agents (Claude Code), the operational maturity is remarkable. The security architecture follows industry best practices for healthcare SaaS. The encryption implementation is correct and uses appropriate algorithms. The authentication system is robust. The API design is clean and consistent. The code is well-organized and well-commented. The operational reality is that NEXUS is a working system with clear, addressable gaps — not a prototype that needs fundamental redesign.</w:t>
      </w:r>
    </w:p>
    <w:p>
      <w:pPr>
        <w:spacing w:after="60" w:before="60"/>
      </w:pPr>
    </w:p>
    <w:p>
      <w:pPr>
        <w:spacing w:after="60" w:before="60"/>
      </w:pPr>
      <w:r>
        <w:rPr>
          <w:rFonts w:ascii="Arial" w:cs="Arial" w:eastAsia="Arial" w:hAnsi="Arial"/>
          <w:sz w:val="22"/>
          <w:szCs w:val="22"/>
        </w:rPr>
        <w:t xml:space="preserve">The fact that this entire infrastructure was designed, implemented, and documented by AI tools for the purpose of managing AI-driven development creates a fascinating recursive loop: NEXUS uses AI to research features, extracts tasks from that research, generates sprints from those tasks, and then hands those tasks to Claude Code for implementation — all while tracking costs, enforcing security, handling errors gracefully, and learning from the web sources it discovers along the way. The automation rules engine, once fully connected, will close the loop even further by automating the transitions between pipeline stages. The Bot API already closes the loop on the implementation side by allowing Claude Code to report back on task completion.</w:t>
      </w:r>
    </w:p>
    <w:p>
      <w:pPr>
        <w:spacing w:after="60" w:before="60"/>
      </w:pPr>
    </w:p>
    <w:p>
      <w:pPr>
        <w:spacing w:after="60" w:before="60"/>
      </w:pPr>
      <w:r>
        <w:rPr>
          <w:rFonts w:ascii="Arial" w:cs="Arial" w:eastAsia="Arial" w:hAnsi="Arial"/>
          <w:sz w:val="22"/>
          <w:szCs w:val="22"/>
        </w:rPr>
        <w:t xml:space="preserve">This is not just a software system. It is a complete operational model for AI-first software development, built on a foundation of automation, integration, security, and resilience that this document has explored in comprehensive detail.</w:t>
      </w:r>
    </w:p>
    <w:p>
      <w:pPr>
        <w:spacing w:after="60" w:before="60"/>
      </w:pP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F2937"/>
      <w:sz w:val="36"/>
      <w:szCs w:val="36"/>
    </w:rPr>
  </w:style>
  <w:style w:type="paragraph" w:styleId="Heading2">
    <w:name w:val="Heading 2"/>
    <w:basedOn w:val="Normal"/>
    <w:next w:val="Normal"/>
    <w:qFormat/>
    <w:pPr>
      <w:spacing w:after="160" w:before="300"/>
      <w:outlineLvl w:val="1"/>
    </w:pPr>
    <w:rPr>
      <w:rFonts w:ascii="Arial" w:cs="Arial" w:eastAsia="Arial" w:hAnsi="Arial"/>
      <w:b/>
      <w:bCs/>
      <w:color w:val="374151"/>
      <w:sz w:val="30"/>
      <w:szCs w:val="30"/>
    </w:rPr>
  </w:style>
  <w:style w:type="paragraph" w:styleId="Heading3">
    <w:name w:val="Heading 3"/>
    <w:basedOn w:val="Normal"/>
    <w:next w:val="Normal"/>
    <w:qFormat/>
    <w:pPr>
      <w:spacing w:after="120" w:before="240"/>
      <w:outlineLvl w:val="2"/>
    </w:pPr>
    <w:rPr>
      <w:rFonts w:ascii="Arial" w:cs="Arial" w:eastAsia="Arial" w:hAnsi="Arial"/>
      <w:b/>
      <w:bCs/>
      <w:color w:val="4B5563"/>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2026-04-03T05:25:40.620Z</dcterms:created>
  <dcterms:modified xsi:type="dcterms:W3CDTF">2026-04-03T05:25:40.620Z</dcterms:modified>
</cp:coreProperties>
</file>

<file path=docProps/custom.xml><?xml version="1.0" encoding="utf-8"?>
<Properties xmlns="http://schemas.openxmlformats.org/officeDocument/2006/custom-properties" xmlns:vt="http://schemas.openxmlformats.org/officeDocument/2006/docPropsVTypes"/>
</file>