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Georgia" w:cs="Georgia" w:eastAsia="Georgia" w:hAnsi="Georgia"/>
          <w:b/>
          <w:bCs/>
          <w:color w:val="0D1F35"/>
          <w:sz w:val="100"/>
          <w:szCs w:val="100"/>
        </w:rPr>
        <w:t xml:space="preserve">NEXUS</w:t>
      </w:r>
    </w:p>
    <w:p>
      <w:pPr>
        <w:spacing w:before="100" w:after="60"/>
        <w:jc w:val="center"/>
      </w:pPr>
      <w:r>
        <w:rPr>
          <w:rFonts w:ascii="Georgia" w:cs="Georgia" w:eastAsia="Georgia" w:hAnsi="Georgia"/>
          <w:i/>
          <w:iCs/>
          <w:color w:val="14532D"/>
          <w:sz w:val="38"/>
          <w:szCs w:val="38"/>
        </w:rPr>
        <w:t xml:space="preserve">Security, Legal &amp; Finance Specification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Auth · RLS · GDPR · Pricing · Unit Economics</w:t>
      </w:r>
    </w:p>
    <w:p>
      <w:pPr>
        <w:pBdr>
          <w:top w:val="single" w:color="14532D" w:sz="4"/>
          <w:bottom w:val="single" w:color="14532D" w:sz="4"/>
        </w:pBdr>
        <w:shd w:fill="FAF7F2" w:val="clear"/>
        <w:spacing w:before="0" w:after="0"/>
        <w:ind w:left="1080" w:right="1080"/>
        <w:jc w:val="center"/>
      </w:pPr>
      <w:r>
        <w:rPr>
          <w:rFonts w:ascii="Georgia" w:cs="Georgia" w:eastAsia="Georgia" w:hAnsi="Georgia"/>
          <w:i/>
          <w:iCs/>
          <w:color w:val="0D1F35"/>
          <w:sz w:val="23"/>
          <w:szCs w:val="23"/>
        </w:rPr>
        <w:t xml:space="preserve">Security architecture, GDPR compliance, legal requirements, and business model.</w:t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יואב  ·  מרץ 2026  ·  Blueprint Package</w:t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1. Security Architecture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1.1 Authentication &amp; Authorization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8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Auth (JWT)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Email/password + Magic Link. OAuth2 (Google) in v2.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JWT — 1 hour expiry, auto-refresh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Stored in httpOnly cookie on frontend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authorization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verified on every FastAPI route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Middleware extracts user_id, passes to all DB queries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Row Level Security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Enabled on all user tables from day 1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 can only see/edit their own data. No exceptions.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routes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Separate admin JWT role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panel routes require admin role claim in JWT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Service-to-service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service key for backend only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Never exposed to frontend. Railway env var only.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1.2 Data Security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 encrypted in transit (TLS 1.3 — Supabase + Vercel + Railway enforce this)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 encrypted at rest (Supabase AES-256 at rest)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keys stored as environment variables only — never in code, never in DB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User-uploaded documents stored in Supabase Storage with RLS — not publicly accessible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Embeddings stored as VECTOR — no way to reconstruct original text from vector alone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 run logs (output_text) may contain sensitive brief content — RLS applied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1.3 Input Validation &amp; Injection Prevention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API inputs validated via Pydantic models (Python FastAPI)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frontend form inputs validated via Zod schemas before submission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SQL: all queries use parameterized inputs via Supabase client — no raw SQL with user input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uploads: type validation (MIME check), size limit (10MB), content scanning via Claude before vectorizing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Prompt injection: agent prompts have strict system-level instructions that cannot be overridden by user brief content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1.4 Rate Limiting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200"/>
        <w:gridCol w:w="3700"/>
      </w:tblGrid>
      <w:tr>
        <w:tc>
          <w:tcPr>
            <w:tcW w:type="dxa" w:w="2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37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if exceeded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/api/projects/brief (launch run)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per hour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 user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429 — 'Too many runs. Try again in X minutes.'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/api/projects/:id/rescan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per day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 project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429 — 'Re-scan limit reached for today.'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/api/insights/search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 per minute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 user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429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other API routes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120 per minute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 user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429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 scan trigger (admin)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per 30 min per source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 source</w:t>
            </w:r>
          </w:p>
        </w:tc>
        <w:tc>
          <w:tcPr>
            <w:tcW w:type="dxa" w:w="3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429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1.5 Security Checklist (Pre-Launch)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RLS enabled and tested on all tables — verify user A cannot read user B data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env vars in Railway/Vercel — no .env files committed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repo set to private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project: disable 'Enable email confirmations' bypass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Supabase: restrict JWT expiry to 3600 seconds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Vercel: enable Vercel Authentication for staging URL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Actions: secrets stored in repo secrets, not env files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pip-audit and npm audit — fix all HIGH/CRITICAL vulnerabilities before launch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CORS: API only accepts requests from nexus.vercel.app domain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2. GDPR &amp; Privacy Compliance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2.1 Data Collected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000"/>
      </w:tblGrid>
      <w:tr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Stored Where</w:t>
            </w:r>
          </w:p>
        </w:tc>
        <w:tc>
          <w:tcPr>
            <w:tcW w:type="dxa" w:w="3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Until account deletion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 briefs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input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projects.brief_json (JSONB)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Until project deleted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Uploaded documents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upload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Storage + project_context table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Until project deleted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run outputs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generation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agent_runs.output_text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90 days, then archived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Intelligence insights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Scraped from public sources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actionable_insights table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Indefinite (no PII)</w:t>
            </w:r>
          </w:p>
        </w:tc>
      </w:tr>
      <w:tr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Usage metadata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 logs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agent_runs table</w:t>
            </w:r>
          </w:p>
        </w:tc>
        <w:tc>
          <w:tcPr>
            <w:tcW w:type="dxa" w:w="3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90 days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2.2 Required Legal Documents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Privacy Policy — must cover: what data we collect, how it's used, third-party sharing (Anthropic, OpenAI, Apify), right to deletion, contact email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Terms of Service — must cover: acceptable use, intellectual property of outputs, no warranty on AI-generated content, subscription terms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Cookie Notice — Supabase Auth uses session cookie; minimal tracking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Processing Agreement — needed if any EU enterprise customers use the platform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2.3 User Rights Implementation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Right</w:t>
            </w:r>
          </w:p>
        </w:tc>
        <w:tc>
          <w:tcPr>
            <w:tcW w:type="dxa" w:w="6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Implemented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 to Access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can export all their project data via Settings → Export Data → JSON download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 to Deletion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Settings → Delete Account → cascades to all projects, tasks, runs, uploads via FK CASCADE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 to Portability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Export Data includes: all projects (JSON), all generated specs (MD files), all tasks (JSON)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 to Rectification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can edit project name, description, and re-run any brief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3. Business Model &amp; Pricing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3.1 Pricing Tiers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200"/>
        <w:gridCol w:w="1600"/>
        <w:gridCol w:w="2000"/>
      </w:tblGrid>
      <w:tr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Price</w:t>
            </w:r>
          </w:p>
        </w:tc>
        <w:tc>
          <w:tcPr>
            <w:tcW w:type="dxa" w:w="1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Projects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Runs/mo</w:t>
            </w:r>
          </w:p>
        </w:tc>
        <w:tc>
          <w:tcPr>
            <w:tcW w:type="dxa" w:w="1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Re-scans/mo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Intelligence Feed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project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runs (Template A only)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Last 7 days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Builder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$29/mo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projects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 runs (A + B)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 per project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Last 30 days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Studio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$79/mo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Unlimited (A + B + C)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history + priority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 sources + SLA + SSO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3.2 Unit Economics (Builder Plan)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800"/>
      </w:tblGrid>
      <w:tr>
        <w:tc>
          <w:tcPr>
            <w:tcW w:type="dxa" w:w="2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Item</w:t>
            </w:r>
          </w:p>
        </w:tc>
        <w:tc>
          <w:tcPr>
            <w:tcW w:type="dxa" w:w="2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 per Active User/Month</w:t>
            </w:r>
          </w:p>
        </w:tc>
        <w:tc>
          <w:tcPr>
            <w:tcW w:type="dxa" w:w="3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API (agent runs)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$8–15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~10 project runs, Template B avg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 embeddings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$0.50–1.00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new insights + uploaded docs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 (scraping)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$1–3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Proportional to active sources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n8n (Railway)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$0.50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Shared across all users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$0.10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tier covers first 500 users</w:t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COGS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~$10–20 per active user/month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Revenue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$29/mo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~31–66%</w:t>
            </w:r>
          </w:p>
        </w:tc>
        <w:tc>
          <w:tcPr>
            <w:tcW w:type="dxa" w:w="3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Improves significantly at scale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3.3 Cost Controls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MAX_MONTHLY_COST_USD env var — hard stop on API spend (default $100)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Per-user spend tracked in agent_runs — alert admin if user exceeds $30 in a month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plan: Template A only (4 agents, cheapest run ~$0.50)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 on runs prevents abuse even on paid plans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Cost shown to user before launching a run — transparency builds trust</w:t>
      </w:r>
    </w:p>
    <w:p>
      <w:pPr>
        <w:spacing w:before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— Nexus Security, Legal &amp; Finance Specification v1.0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C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Nexus — Security, Legal &amp; Finance Specification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C" w:sz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D1F35"/>
        <w:sz w:val="18"/>
        <w:szCs w:val="18"/>
      </w:rPr>
      <w:t xml:space="preserve">NEXUS</w:t>
    </w:r>
    <w:r>
      <w:rPr>
        <w:rFonts w:ascii="Arial" w:cs="Arial" w:eastAsia="Arial" w:hAnsi="Arial"/>
        <w:color w:val="6B7280"/>
        <w:sz w:val="18"/>
        <w:szCs w:val="18"/>
      </w:rPr>
      <w:t xml:space="preserve">   ·   Security, Legal &amp; Finance Specification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		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80"/>
      <w:outlineLvl w:val="0"/>
    </w:pPr>
    <w:rPr>
      <w:rFonts w:ascii="Georgia" w:cs="Georgia" w:eastAsia="Georgia" w:hAnsi="Georgia"/>
      <w:b/>
      <w:bCs/>
      <w:color w:val="0D1F35"/>
      <w:sz w:val="46"/>
      <w:szCs w:val="46"/>
    </w:rPr>
  </w:style>
  <w:style w:type="paragraph" w:styleId="Heading2">
    <w:name w:val="Heading 2"/>
    <w:basedOn w:val="Normal"/>
    <w:next w:val="Normal"/>
    <w:qFormat/>
    <w:pPr>
      <w:spacing w:before="380" w:after="130"/>
      <w:outlineLvl w:val="1"/>
    </w:pPr>
    <w:rPr>
      <w:rFonts w:ascii="Georgia" w:cs="Georgia" w:eastAsia="Georgia" w:hAnsi="Georgia"/>
      <w:b/>
      <w:bCs/>
      <w:color w:val="1A5FA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90"/>
      <w:outlineLvl w:val="2"/>
    </w:pPr>
    <w:rPr>
      <w:rFonts w:ascii="Arial" w:cs="Arial" w:eastAsia="Arial" w:hAnsi="Arial"/>
      <w:b/>
      <w:bCs/>
      <w:color w:val="0D1F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2026-03-29T07:35:40.067Z</dcterms:created>
  <dcterms:modified xsi:type="dcterms:W3CDTF">2026-03-29T07:35:40.067Z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