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1ADBF">
      <w:pPr>
        <w:spacing w:after="40"/>
        <w:jc w:val="center"/>
      </w:pPr>
      <w:r>
        <w:rPr>
          <w:rFonts w:ascii="Times New Roman" w:hAnsi="Times New Roman" w:eastAsia="黑体"/>
          <w:b/>
          <w:sz w:val="30"/>
        </w:rPr>
        <w:t>AI for Research 赛道｜开放探索赛初赛问题定义文档</w:t>
      </w:r>
    </w:p>
    <w:p w14:paraId="5F5B536D">
      <w:pPr>
        <w:spacing w:after="20" w:before="60"/>
        <w:jc w:val="center"/>
      </w:pPr>
      <w:r>
        <w:rPr>
          <w:rFonts w:ascii="Times New Roman" w:hAnsi="Times New Roman" w:eastAsia="黑体"/>
          <w:b/>
          <w:sz w:val="26"/>
        </w:rPr>
        <w:t>极低比特量化的质量上界与损失归属</w:t>
      </w:r>
    </w:p>
    <w:p w14:paraId="5F5B536D">
      <w:pPr>
        <w:spacing w:after="100" w:before="60"/>
        <w:ind w:firstLine="0"/>
        <w:jc w:val="center"/>
      </w:pPr>
      <w:r>
        <w:rPr>
          <w:rFonts w:ascii="Times New Roman" w:hAnsi="Times New Roman" w:eastAsia="黑体"/>
          <w:b w:val="0"/>
          <w:color w:val="444444"/>
          <w:sz w:val="20"/>
        </w:rPr>
        <w:t>——等体积、零训练约束下，以开源社区同档 2-bit 量化件为参照系的自主探索</w:t>
      </w:r>
    </w:p>
    <w:p w14:paraId="57F2D753">
      <w:pPr>
        <w:shd w:val="clear" w:fill="F4F6F9"/>
        <w:spacing w:before="10" w:after="90" w:line="240" w:lineRule="auto"/>
        <w:jc w:val="both"/>
        <w:rPr>
          <w:rFonts w:ascii="Calibri" w:hAnsi="Calibri" w:eastAsia="微软雅黑"/>
          <w:b/>
          <w:i w:val="0"/>
          <w:color w:val="1F4D78"/>
          <w:sz w:val="19"/>
        </w:rPr>
        <w:pBdr>
          <w:top w:val="single" w:sz="4" w:space="3" w:color="BFBFBF"/>
          <w:bottom w:val="single" w:sz="4" w:space="3" w:color="BFBFBF"/>
        </w:pBdr>
      </w:pPr>
      <w:r>
        <w:rPr>
          <w:rFonts w:ascii="Times New Roman" w:hAnsi="Times New Roman" w:eastAsia="楷体"/>
          <w:b w:val="0"/>
          <w:color w:val="333333"/>
          <w:sz w:val="20"/>
        </w:rPr>
        <w:t>一句话问题：给定与开源社区已发布的 DeepSeek-V4-Flash 2-bit 量化件（IQ2_XXS 档，86.7 GB）完全相同的体积预算，并且全程不允许训练，同一个大模型还能被量化到多好？等体积下还剩多少质量没被榨干、它藏在哪个环节、能不能兑现成「可用」——本文把它定义成一个 AI Agent 可长期自主探索的环境。</w:t>
      </w:r>
    </w:p>
    <w:p w14:paraId="10807880">
      <w:pPr>
        <w:pStyle w:val="3"/>
        <w:spacing w:before="90" w:after="30"/>
      </w:pPr>
      <w:r>
        <w:rPr>
          <w:rFonts w:ascii="Times New Roman" w:hAnsi="Times New Roman" w:eastAsia="黑体"/>
          <w:b/>
          <w:sz w:val="26"/>
        </w:rPr>
        <w:t>一、问题</w:t>
      </w:r>
      <w:r>
        <w:rPr>
          <w:rFonts w:hint="eastAsia" w:ascii="Times New Roman" w:hAnsi="Times New Roman" w:eastAsia="黑体"/>
          <w:b/>
          <w:sz w:val="26"/>
        </w:rPr>
        <w:t>与证据</w:t>
      </w:r>
    </w:p>
    <w:p w14:paraId="44BF846D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1.1 真实问题或需求</w:t>
      </w:r>
    </w:p>
    <w:p w14:paraId="6CE5101A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目标与对象。</w:t>
      </w:r>
      <w:r>
        <w:rPr>
          <w:rFonts w:ascii="Times New Roman" w:hAnsi="Times New Roman" w:eastAsia="宋体"/>
          <w:b w:val="0"/>
          <w:sz w:val="20"/>
        </w:rPr>
        <w:t>目标模型是 DeepSeek-V4-Flash（284B 总参数、13B 激活的 MoE）。本地与私有部署必须用量化模型，而 2-bit 档是能在可负担硬件上真正跑起来的档位，也是开源社区为此发布量化件的档位。用它的人是个人研究者、中小团队，以及数据不能出内网的组织。</w:t>
      </w:r>
    </w:p>
    <w:p w14:paraId="6CE5101A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我要的不是更小，是同样大小、更好用。</w:t>
      </w:r>
      <w:r>
        <w:rPr>
          <w:rFonts w:ascii="Times New Roman" w:hAnsi="Times New Roman" w:eastAsia="宋体"/>
          <w:b w:val="0"/>
          <w:sz w:val="20"/>
        </w:rPr>
        <w:t>体积预算取自社区已发布的同档量化件（IQ2_XXS 档 86.7 GB）；目标不是把模型压得更小，而是在这个固定体积上把质量做到最好——超过社区同档件，并且好到「可用」。</w:t>
      </w:r>
    </w:p>
    <w:p w14:paraId="6CE5101A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困扰的精确形态。</w:t>
      </w:r>
      <w:r>
        <w:rPr>
          <w:rFonts w:ascii="Times New Roman" w:hAnsi="Times New Roman" w:eastAsia="宋体"/>
          <w:b w:val="0"/>
          <w:sz w:val="20"/>
        </w:rPr>
        <w:t>社区件本身已是很强的基线（wikitext-2 上 KL 0.4207／top-1 77.92%）；要在同体积、不训练、且不靠裁剪的条件下超过它没有现成方法，而且判据一旦选错，很容易误以为已经赢了（见 1.2）。</w:t>
      </w:r>
    </w:p>
    <w:p w14:paraId="6CE5101A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 w:val="0"/>
          <w:sz w:val="20"/>
        </w:rPr>
        <w:t>所以问题是： 体积一分不加、且不训练，能否在一把不能被这样刷的尺子上——与校准语料零重叠的公开通用文本——全面超过社区件。</w:t>
      </w:r>
    </w:p>
    <w:p w14:paraId="6BE72A3D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1.2 为什么尚未被结构化</w:t>
      </w:r>
    </w:p>
    <w:p w14:paraId="06EB370A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不是「没人做过极低比特」。</w:t>
      </w:r>
      <w:r>
        <w:rPr>
          <w:rFonts w:ascii="Times New Roman" w:hAnsi="Times New Roman" w:eastAsia="宋体"/>
          <w:b w:val="0"/>
          <w:sz w:val="20"/>
        </w:rPr>
        <w:t>业界 1-bit、1.58-bit 工作已经成熟，但绝大多数依赖训练或量化感知训练；在「拿到已发布权重、不训练、只做后训练量化」的条件下同体积能做到多好，没有公认答案。</w:t>
      </w:r>
    </w:p>
    <w:p w14:paraId="06EB370A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缺的是上界，不是又一个方法。</w:t>
      </w:r>
      <w:r>
        <w:rPr>
          <w:rFonts w:ascii="Times New Roman" w:hAnsi="Times New Roman" w:eastAsia="宋体"/>
          <w:b w:val="0"/>
          <w:sz w:val="20"/>
        </w:rPr>
        <w:t>现有工作报的都是「我的方法比某基线好多少」，没有人回答「这个体积预算下最好能到多少、当前方法离它还有多远」。没有上界就无法判断该继续投入还是换方向——这正是本探索最需要的判据。</w:t>
      </w:r>
    </w:p>
    <w:p w14:paraId="06EB370A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损失藏在哪里没有定论。</w:t>
      </w:r>
      <w:r>
        <w:rPr>
          <w:rFonts w:ascii="Times New Roman" w:hAnsi="Times New Roman" w:eastAsia="宋体"/>
          <w:b w:val="0"/>
          <w:sz w:val="20"/>
        </w:rPr>
        <w:t>直觉是「量化损失＝权重重建误差」，补偿理应加在输出侧。本探索用三个互证的作弊上界实验证明这个直觉是错的（图 1②、3.1②）——这类问题从论文指标里读不出来，只能自己做上界实验。</w:t>
      </w:r>
    </w:p>
    <w:p w14:paraId="06EB370A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度量本身不可信。</w:t>
      </w:r>
      <w:r>
        <w:rPr>
          <w:rFonts w:ascii="Times New Roman" w:hAnsi="Times New Roman" w:eastAsia="宋体"/>
          <w:b w:val="0"/>
          <w:sz w:val="20"/>
        </w:rPr>
        <w:t>同一套方案换一批判据集，能力保留率 0.90 → 0.52（图 1③）。而且校准语料与判据同域会造成系统性假象：已实测，私有语料上很漂亮的成绩换到通用文本上完全不迁移。</w:t>
      </w:r>
    </w:p>
    <w:p w14:paraId="06EB370A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搜索空间大而反馈慢。</w:t>
      </w:r>
      <w:r>
        <w:rPr>
          <w:rFonts w:ascii="Times New Roman" w:hAnsi="Times New Roman" w:eastAsia="宋体"/>
          <w:b w:val="0"/>
          <w:sz w:val="20"/>
        </w:rPr>
        <w:t>配置组合数以万计、无理论可预判，单次完整验证以小时计——人力穷举不现实。</w:t>
      </w:r>
    </w:p>
    <w:p w14:paraId="06EB370A">
      <w:pPr>
        <w:spacing w:after="20" w:before="50" w:line="240" w:lineRule="auto"/>
        <w:ind w:left="173" w:firstLine="0"/>
        <w:jc w:val="center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drawing>
          <wp:inline xmlns:a="http://schemas.openxmlformats.org/drawingml/2006/main" xmlns:pic="http://schemas.openxmlformats.org/drawingml/2006/picture">
            <wp:extent cx="5184000" cy="1402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4026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EB370A">
      <w:pPr>
        <w:spacing w:after="60" w:before="50" w:line="240" w:lineRule="auto"/>
        <w:ind w:left="173" w:firstLine="0"/>
        <w:jc w:val="center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 w:val="0"/>
          <w:color w:val="555555"/>
          <w:sz w:val="18"/>
        </w:rPr>
        <w:t>图 1　DeepSeek-V4-Flash 等体积（86.7 GB 档）、零训练下的三组关键实测：①与社区同档 2-bit 量化件相比，我方 top-1 已反超、KL 与困惑度比仍落后；②作弊上界定位——补偿输出残差侧回收 ≈ 0，而钉住路由选择侧 −15.5% 并全面越过社区件，说明损失主体在「选择」而非「重建」；③同一方案换一批判据集，结论相差一倍以上。</w:t>
      </w:r>
    </w:p>
    <w:p w14:paraId="713315DE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1.</w:t>
      </w:r>
      <w:r>
        <w:rPr>
          <w:rFonts w:hint="eastAsia" w:ascii="Times New Roman" w:hAnsi="Times New Roman" w:eastAsia="黑体" w:cs="黑体"/>
          <w:b/>
          <w:sz w:val="22"/>
          <w:lang w:val="en-US" w:eastAsia="zh-CN"/>
        </w:rPr>
        <w:t xml:space="preserve">3 </w:t>
      </w:r>
      <w:r>
        <w:rPr>
          <w:rFonts w:hint="eastAsia" w:ascii="Times New Roman" w:hAnsi="Times New Roman" w:eastAsia="黑体" w:cs="黑体"/>
          <w:b/>
          <w:sz w:val="22"/>
        </w:rPr>
        <w:t>研究价值与合适切片</w:t>
      </w:r>
    </w:p>
    <w:p w14:paraId="0B248DF1">
      <w:pPr>
        <w:spacing w:after="24" w:line="240" w:lineRule="auto" w:before="10"/>
        <w:ind w:firstLineChars="100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rPr>
          <w:rFonts w:ascii="Times New Roman" w:hAnsi="Times New Roman" w:eastAsia="宋体"/>
          <w:b/>
          <w:sz w:val="20"/>
        </w:rPr>
        <w:t>上界价值。</w:t>
      </w:r>
      <w:r>
        <w:rPr>
          <w:rFonts w:ascii="Times New Roman" w:hAnsi="Times New Roman" w:eastAsia="宋体"/>
          <w:b w:val="0"/>
          <w:sz w:val="20"/>
        </w:rPr>
        <w:t>回答「这个体积预算下最好能到多少、当前离它多远」：目前距社区件的剩余 KL 差距 0.032，而单是路由一项的作弊上界就值 0.070。上界告诉你还有多少可拿，这是决定继续投入还是换方向的依据。</w:t>
      </w:r>
    </w:p>
    <w:p w14:paraId="0B248DF1">
      <w:pPr>
        <w:spacing w:after="24" w:line="240" w:lineRule="auto" w:before="10"/>
        <w:ind w:firstLineChars="100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rPr>
          <w:rFonts w:ascii="Times New Roman" w:hAnsi="Times New Roman" w:eastAsia="宋体"/>
          <w:b/>
          <w:sz w:val="20"/>
        </w:rPr>
        <w:t>归属价值。</w:t>
      </w:r>
      <w:r>
        <w:rPr>
          <w:rFonts w:ascii="Times New Roman" w:hAnsi="Times New Roman" w:eastAsia="宋体"/>
          <w:b w:val="0"/>
          <w:sz w:val="20"/>
        </w:rPr>
        <w:t>把量化损失定位到具体环节，决定整个方向该往哪里投入。本探索已把它定位到路由选择侧而非权重重建侧，并产出一个可推广的方法：oracle 上界法（3.1②）。</w:t>
      </w:r>
    </w:p>
    <w:p w14:paraId="0B248DF1">
      <w:pPr>
        <w:spacing w:after="24" w:line="240" w:lineRule="auto" w:before="10"/>
        <w:ind w:firstLineChars="100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rPr>
          <w:rFonts w:ascii="Times New Roman" w:hAnsi="Times New Roman" w:eastAsia="宋体"/>
          <w:b/>
          <w:sz w:val="20"/>
        </w:rPr>
        <w:t>判据价值。</w:t>
      </w:r>
      <w:r>
        <w:rPr>
          <w:rFonts w:ascii="Times New Roman" w:hAnsi="Times New Roman" w:eastAsia="宋体"/>
          <w:b w:val="0"/>
          <w:sz w:val="20"/>
        </w:rPr>
        <w:t>给出一把不能被「换个容易判据集」或「让校准语料与判据同域」刷高的尺子——这是本地部署选型时最缺的东西。</w:t>
      </w:r>
    </w:p>
    <w:p w14:paraId="0B248DF1">
      <w:pPr>
        <w:spacing w:after="24" w:line="240" w:lineRule="auto" w:before="10"/>
        <w:ind w:firstLineChars="100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rPr>
          <w:rFonts w:ascii="Times New Roman" w:hAnsi="Times New Roman" w:eastAsia="宋体"/>
          <w:b/>
          <w:sz w:val="20"/>
        </w:rPr>
        <w:t>AI 为什么可以介入。</w:t>
      </w:r>
      <w:r>
        <w:rPr>
          <w:rFonts w:ascii="Times New Roman" w:hAnsi="Times New Roman" w:eastAsia="宋体"/>
          <w:b w:val="0"/>
          <w:sz w:val="20"/>
        </w:rPr>
        <w:t>探索循环高度结构化却极其繁琐：提假设→落成配置→量化出候选→跑判决→读日志→下结论→改假设，单轮以小时计、已累计上百轮。Agent 提供三件人做不好的事：不疲劳地扫描上百个配置并归纳；把每次失败完整记录成可检索证据；在负结果出现时如实判否，而不是换个指标继续证明自己。</w:t>
      </w:r>
    </w:p>
    <w:p w14:paraId="0B248DF1">
      <w:pPr>
        <w:spacing w:after="24" w:line="240" w:lineRule="auto" w:before="10"/>
        <w:ind w:firstLineChars="100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rPr>
          <w:rFonts w:ascii="Times New Roman" w:hAnsi="Times New Roman" w:eastAsia="宋体"/>
          <w:b/>
          <w:sz w:val="20"/>
        </w:rPr>
        <w:t>合适切片。</w:t>
      </w:r>
      <w:r>
        <w:rPr>
          <w:rFonts w:ascii="Times New Roman" w:hAnsi="Times New Roman" w:eastAsia="宋体"/>
          <w:b w:val="0"/>
          <w:sz w:val="20"/>
        </w:rPr>
        <w:t>不做通用量化理论，只切一个可闭环的切片：单一模型、单一体积档、零训练、公开通用判据集，以对未量化模型的逼近程度为终判。</w:t>
      </w:r>
    </w:p>
    <w:p w14:paraId="6FEF0160">
      <w:pPr>
        <w:pStyle w:val="3"/>
        <w:spacing w:before="90" w:after="30"/>
      </w:pPr>
      <w:r>
        <w:rPr>
          <w:rFonts w:ascii="Times New Roman" w:hAnsi="Times New Roman" w:eastAsia="黑体"/>
          <w:b/>
          <w:sz w:val="26"/>
        </w:rPr>
        <w:t>二、</w:t>
      </w:r>
      <w:r>
        <w:rPr>
          <w:rFonts w:hint="eastAsia" w:ascii="Times New Roman" w:hAnsi="Times New Roman" w:eastAsia="黑体"/>
          <w:b/>
          <w:sz w:val="26"/>
        </w:rPr>
        <w:t>环境接口</w:t>
      </w:r>
    </w:p>
    <w:p w14:paraId="686E3F49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2.1固定规则</w:t>
      </w:r>
    </w:p>
    <w:p w14:paraId="597E7650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体积冻结。</w:t>
      </w:r>
      <w:r>
        <w:rPr>
          <w:rFonts w:ascii="Times New Roman" w:hAnsi="Times New Roman" w:eastAsia="宋体"/>
          <w:b w:val="0"/>
          <w:sz w:val="20"/>
        </w:rPr>
        <w:t>候选必须与社区参照件同档（86.7 GB）。不允许加体积换质量——这是本问题的定义性约束，一旦放开，问题就退化成「更大的模型当然更好」。</w:t>
      </w:r>
    </w:p>
    <w:p w14:paraId="597E7650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零训练。</w:t>
      </w:r>
      <w:r>
        <w:rPr>
          <w:rFonts w:ascii="Times New Roman" w:hAnsi="Times New Roman" w:eastAsia="宋体"/>
          <w:b w:val="0"/>
          <w:sz w:val="20"/>
        </w:rPr>
        <w:t>只允许后训练量化与闭式求解，不许重训、不许量化感知训练。这条决定了本探索与业界多数极低比特工作处在不同的约束面上。</w:t>
      </w:r>
    </w:p>
    <w:p w14:paraId="597E7650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判据集冻结。</w:t>
      </w:r>
      <w:r>
        <w:rPr>
          <w:rFonts w:ascii="Times New Roman" w:hAnsi="Times New Roman" w:eastAsia="宋体"/>
          <w:b w:val="0"/>
          <w:sz w:val="20"/>
        </w:rPr>
        <w:t>判据取公开文本，与校准语料零重叠；生成设置与判定脚本开跑前冻结并版本留档（防止「打不过就换指标」）。参照件为社区已发布的同档量化件，其公开数字可被第三方逐项复算。</w:t>
      </w:r>
    </w:p>
    <w:p w14:paraId="597E7650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全层全专家平权。</w:t>
      </w:r>
      <w:r>
        <w:rPr>
          <w:rFonts w:ascii="Times New Roman" w:hAnsi="Times New Roman" w:eastAsia="宋体"/>
          <w:b w:val="0"/>
          <w:sz w:val="20"/>
        </w:rPr>
        <w:t>不做专家裁剪、不丢弃任何部件、不按域倾斜本体的比特预算——裁剪换来的分数会把偏置固化进权重，与「还原模型本身」相悖。</w:t>
      </w:r>
    </w:p>
    <w:p w14:paraId="68827DBD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2.2 观察/行动/反馈</w:t>
      </w:r>
    </w:p>
    <w:p w14:paraId="1159813B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可观察。</w:t>
      </w:r>
      <w:r>
        <w:rPr>
          <w:rFonts w:ascii="Times New Roman" w:hAnsi="Times New Roman" w:eastAsia="宋体"/>
          <w:b w:val="0"/>
          <w:sz w:val="20"/>
        </w:rPr>
        <w:t>候选相对未量化模型的 KL 散度、top-1 一致率与困惑度比；逐层误差及其沿层链的传播；判据集上的逐 token 原始输出；耗时与内存账单；全部历史实验记录。</w:t>
      </w:r>
    </w:p>
    <w:p w14:paraId="1159813B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可执行。</w:t>
      </w:r>
      <w:r>
        <w:rPr>
          <w:rFonts w:ascii="Times New Roman" w:hAnsi="Times New Roman" w:eastAsia="宋体"/>
          <w:b w:val="0"/>
          <w:sz w:val="20"/>
        </w:rPr>
        <w:t>在等体积约束下腾挪各层各部位的预算；附加或移除等体积的修正；改变校准语料的构成与摆位；构造 oracle 上界实验（允许作弊，只用于定位）；以及——申请修改假设或问题边界。</w:t>
      </w:r>
    </w:p>
    <w:p w14:paraId="1159813B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反馈。</w:t>
      </w:r>
      <w:r>
        <w:rPr>
          <w:rFonts w:ascii="Times New Roman" w:hAnsi="Times New Roman" w:eastAsia="宋体"/>
          <w:b w:val="0"/>
          <w:sz w:val="20"/>
        </w:rPr>
        <w:t>①过程诊断指标；②终判信号，即通用尺三项指标对社区件的胜负；③资源与耗时账单；④失败现场，含原始输出与日志。</w:t>
      </w:r>
    </w:p>
    <w:p w14:paraId="1159813B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一条关键约定。</w:t>
      </w:r>
      <w:r>
        <w:rPr>
          <w:rFonts w:ascii="Times New Roman" w:hAnsi="Times New Roman" w:eastAsia="宋体"/>
          <w:b w:val="0"/>
          <w:sz w:val="20"/>
        </w:rPr>
        <w:t>过程诊断指标只在同一方案内部用于定位，不得跨方案比较、不得当作成绩——曾用未过终判方案的中间指标去比已过终判的方案，整轮结论作废。</w:t>
      </w:r>
    </w:p>
    <w:p w14:paraId="2914062D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2.3 记录与预算</w:t>
      </w:r>
    </w:p>
    <w:p w14:paraId="272D4DC7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状态与日志。</w:t>
      </w:r>
      <w:r>
        <w:rPr>
          <w:rFonts w:ascii="Times New Roman" w:hAnsi="Times New Roman" w:eastAsia="宋体"/>
          <w:b w:val="0"/>
          <w:sz w:val="20"/>
        </w:rPr>
        <w:t>每次实验（成功与失败同等）写入统一日志，含假设、配置、原始输出、判决与「本次学到什么」；候选按轮次归档。负结果另立清单——它是已关闭分支的地图，也是本探索的主要累积资产。</w:t>
      </w:r>
    </w:p>
    <w:p w14:paraId="272D4DC7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资源预算。</w:t>
      </w:r>
      <w:r>
        <w:rPr>
          <w:rFonts w:ascii="Times New Roman" w:hAnsi="Times New Roman" w:eastAsia="宋体"/>
          <w:b w:val="0"/>
          <w:sz w:val="20"/>
        </w:rPr>
        <w:t>单次验证 ≤ 10 分钟——任何方案必须先具备分钟级判决设计才允许启动；量化全程看门狗守内存红线；每轮必须产出一个可陈述的结论，包括负结论。</w:t>
      </w:r>
    </w:p>
    <w:p w14:paraId="272D4DC7">
      <w:pPr>
        <w:spacing w:after="20" w:before="50" w:line="240" w:lineRule="auto"/>
        <w:ind w:left="173" w:firstLine="0"/>
        <w:jc w:val="center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drawing>
          <wp:inline xmlns:a="http://schemas.openxmlformats.org/drawingml/2006/main" xmlns:pic="http://schemas.openxmlformats.org/drawingml/2006/picture">
            <wp:extent cx="3960000" cy="1683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832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2D4DC7">
      <w:pPr>
        <w:spacing w:after="60" w:before="50" w:line="240" w:lineRule="auto"/>
        <w:ind w:left="173" w:firstLine="0"/>
        <w:jc w:val="center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 w:val="0"/>
          <w:color w:val="555555"/>
          <w:sz w:val="18"/>
        </w:rPr>
        <w:t>图 2　探索环境接口与一轮最小闭环：左栏为四条不可改的规则（体积冻结／零训练／判据集冻结／全层全专家平权），①–⑦ 为一轮完整的观察—行动—反馈—记录回路。</w:t>
      </w:r>
    </w:p>
    <w:p w14:paraId="7FFB157E">
      <w:pPr>
        <w:pStyle w:val="3"/>
        <w:spacing w:before="90" w:after="30"/>
      </w:pPr>
      <w:r>
        <w:rPr>
          <w:rFonts w:ascii="Times New Roman" w:hAnsi="Times New Roman" w:eastAsia="黑体"/>
          <w:b/>
          <w:sz w:val="26"/>
        </w:rPr>
        <w:t>三、</w:t>
      </w:r>
      <w:r>
        <w:rPr>
          <w:rFonts w:hint="eastAsia" w:ascii="Times New Roman" w:hAnsi="Times New Roman" w:eastAsia="黑体"/>
          <w:b/>
          <w:sz w:val="26"/>
        </w:rPr>
        <w:t>发现信号与参照</w:t>
      </w:r>
    </w:p>
    <w:p w14:paraId="6E43739B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3.1 什么算发现</w:t>
      </w:r>
    </w:p>
    <w:p w14:paraId="029E10DE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①正向发现。</w:t>
      </w:r>
      <w:r>
        <w:rPr>
          <w:rFonts w:ascii="Times New Roman" w:hAnsi="Times New Roman" w:eastAsia="宋体"/>
          <w:b w:val="0"/>
          <w:sz w:val="20"/>
        </w:rPr>
        <w:t>等体积、零训练下相对社区件可复现的提升。实例：仅改变校准语料的组织方式（不加体积、不加训练、不改结构），未加修正的量化本体 KL 四连降0.5547→0.5335→0.5134→0.4956；再叠加等体积修正后到 0.4522，为当前最好。</w:t>
      </w:r>
    </w:p>
    <w:p w14:paraId="029E10DE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②上界与归属发现（本探索最主要的产出形态）。</w:t>
      </w:r>
      <w:r>
        <w:rPr>
          <w:rFonts w:ascii="Times New Roman" w:hAnsi="Times New Roman" w:eastAsia="宋体"/>
          <w:b w:val="0"/>
          <w:sz w:val="20"/>
        </w:rPr>
        <w:t>方法是 oracle 上界法：给某个环节一个允许作弊的上界（用未量化模型的真值替该环节做决策），看端到端能回收多少。三个互证实例——输出残差侧：允许用真值检索补偿，回收 ≈ 0 且容量再大也永不转正，判定该处信息不存在；深层复验：对深层残差再做分域、条件化与非线性共十二种变体，全部 ≈ 0，重建侧在深层已穷尽；路由选择侧：把选择钉在真值上，KL 由 0.4522 降到 0.3823（−15.5%），三项指标全面越过社区件。结论：量化损失的主体不在「权重重建得不够准」，而在「它扰动了模型的内部选择」。路由这一项值 0.070 KL，而剩余全部差距只有 0.032——兑现一半即可全面反超。</w:t>
      </w:r>
    </w:p>
    <w:p w14:paraId="029E10DE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③对角线定律与域适配的位置。</w:t>
      </w:r>
      <w:r>
        <w:rPr>
          <w:rFonts w:ascii="Times New Roman" w:hAnsi="Times New Roman" w:eastAsia="宋体"/>
          <w:b w:val="0"/>
          <w:sz w:val="20"/>
        </w:rPr>
        <w:t>早期实测某改动在专业域内 +32%、换到通用域只剩 3%＝域内记忆效应。进一步测出定律：每个域的最优解都是本域校准（51.6%／28.5%／21.1%），无单一校准能通吃。据此得到的原则不是「挑一个域去刷」，而是让域适配与量化本体解耦、按域可替换：链上实测专业域 KL 0.386→0.205（−47%）、top-1 85.6→88.3，通用尺仅由 0.452 微降到 0.480、仍远胜未加修正的 0.496，且全程不改动本体权重。</w:t>
      </w:r>
    </w:p>
    <w:p w14:paraId="029E10DE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④对原问题定义的修正。</w:t>
      </w:r>
      <w:r>
        <w:rPr>
          <w:rFonts w:ascii="Times New Roman" w:hAnsi="Times New Roman" w:eastAsia="宋体"/>
          <w:b w:val="0"/>
          <w:sz w:val="20"/>
        </w:rPr>
        <w:t>原目标是刷高某个专业域的分数，实测证明那是域内记忆效应，以通用能力换来的域内分数没有意义。修正后分两层：通用能力是基础，以通用尺为主判、不为任何单项域让步；在此前提下专业域的提升与本体解耦、按域可替换，不写进本体权重。这类修正记为发现而非返工——它同时改变了目标与架构。</w:t>
      </w:r>
    </w:p>
    <w:p w14:paraId="029E10DE">
      <w:pPr>
        <w:spacing w:after="20" w:before="6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18"/>
        </w:rPr>
        <w:t>表 1　已产出的稳定负结果（节选）——负结果同样是发现，其价值是关闭搜索分支：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835"/>
        <w:gridCol w:w="7143"/>
      </w:tblGrid>
      <w:tr>
        <w:tc>
          <w:tcPr>
            <w:tcW w:type="dxa" w:w="283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已关闭的搜索分支</w:t>
            </w:r>
          </w:p>
        </w:tc>
        <w:tc>
          <w:tcPr>
            <w:tcW w:type="dxa" w:w="7143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关闭依据（多规模一致复现）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输出侧补偿量化残差</w:t>
            </w:r>
          </w:p>
        </w:tc>
        <w:tc>
          <w:tcPr>
            <w:tcW w:type="dxa" w:w="7143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作弊上界回收 ≈ 0 且永不转正 → 该处信息不存在（任意容量、线性与非线性）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深层残差的分域／条件化补偿</w:t>
            </w:r>
          </w:p>
        </w:tc>
        <w:tc>
          <w:tcPr>
            <w:tcW w:type="dxa" w:w="7143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十二种变体全部 ≈ 0 → 重建侧在深层已穷尽，损失不在此处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改用另一优化目标重解</w:t>
            </w:r>
          </w:p>
        </w:tc>
        <w:tc>
          <w:tcPr>
            <w:tcW w:type="dxa" w:w="7143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不增容量只挪容量，在自家口径上反输 → 过拟合形态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按某一域倾斜本体比特预算</w:t>
            </w:r>
          </w:p>
        </w:tc>
        <w:tc>
          <w:tcPr>
            <w:tcW w:type="dxa" w:w="7143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域内 +32% 换到通用域仅剩 3%＝把域偏置固化进权重</w:t>
            </w:r>
          </w:p>
        </w:tc>
      </w:tr>
    </w:tbl>
    <w:p w14:paraId="4464C725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3.2 平凡解/随机/无干预</w:t>
      </w:r>
    </w:p>
    <w:p w14:paraId="3AC3FC2B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三个参照。</w:t>
      </w:r>
      <w:r>
        <w:rPr>
          <w:rFonts w:ascii="Times New Roman" w:hAnsi="Times New Roman" w:eastAsia="宋体"/>
          <w:b w:val="0"/>
          <w:sz w:val="20"/>
        </w:rPr>
        <w:t>平凡解＝开源社区已发布的 DeepSeek-V4-Flash 同档 2-bit 量化件（IQ2_XXS 档 86.7 GB），wikitext-2 上的公开数字为 KL 0.4207／top-1 77.92%／困惑度比 1.3575，第三方可逐项复算；随机参照＝把等体积预算随机分配的配置；无干预上界＝未量化模型，三项指标都对它测。</w:t>
      </w:r>
    </w:p>
    <w:p w14:paraId="3AC3FC2B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口径说明。</w:t>
      </w:r>
      <w:r>
        <w:rPr>
          <w:rFonts w:ascii="Times New Roman" w:hAnsi="Times New Roman" w:eastAsia="宋体"/>
          <w:b w:val="0"/>
          <w:sz w:val="20"/>
        </w:rPr>
        <w:t>我方为连续单流回放、社区公开表为 ctx512 分块跑全测试集，故困惑度绝对值不可直接比，对未量化模型的相对指标可比；判据集与校准语料零重叠。</w:t>
      </w:r>
    </w:p>
    <w:p w14:paraId="3AC3FC2B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当前所处位置（诚实报账）。</w:t>
      </w:r>
      <w:r>
        <w:rPr>
          <w:rFonts w:ascii="Times New Roman" w:hAnsi="Times New Roman" w:eastAsia="宋体"/>
          <w:b w:val="0"/>
          <w:sz w:val="20"/>
        </w:rPr>
        <w:t>top-1 78.78 对 77.92——反超 0.86 点；但 KL 0.4522 对 0.4207、困惑度比 1.430 对 1.3575 仍落后（图 1①）。形态是「主峰已胜、分布尾部仍有差距」，剩余 KL 差距 0.032，已由 3.1② 归属完毕。</w:t>
      </w:r>
    </w:p>
    <w:p w14:paraId="3AC3FC2B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何种差异才算超过参照。</w:t>
      </w:r>
      <w:r>
        <w:rPr>
          <w:rFonts w:ascii="Times New Roman" w:hAnsi="Times New Roman" w:eastAsia="宋体"/>
          <w:b w:val="0"/>
          <w:sz w:val="20"/>
        </w:rPr>
        <w:t>必须在与校准语料零重叠的公开通用判据集上，三项相对社区件不倒退且至少一项可复现地超过。只在容易判据集或单一领域上的提升一律不采信——图 1③ 与 3.1③ 已两次证明其为假象。</w:t>
      </w:r>
    </w:p>
    <w:p w14:paraId="4C699CCE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3.3 最低成功与失败标准</w:t>
      </w:r>
    </w:p>
    <w:p w14:paraId="0D34A558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最低成功门槛（同时满足）。</w:t>
      </w:r>
      <w:r>
        <w:rPr>
          <w:rFonts w:ascii="Times New Roman" w:hAnsi="Times New Roman" w:eastAsia="宋体"/>
          <w:b w:val="0"/>
          <w:sz w:val="20"/>
        </w:rPr>
        <w:t>①体积不超社区件、全程零训练、全层全专家平权；②通用尺三项指标相对社区件不倒退，且至少一项可复现地超过（top-1 已达成）；③终极门槛是三项全面超过。专业域的额外提升算加分，不能顶替这三条。</w:t>
      </w:r>
    </w:p>
    <w:p w14:paraId="0D34A558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明确失败判定。</w:t>
      </w:r>
      <w:r>
        <w:rPr>
          <w:rFonts w:ascii="Times New Roman" w:hAnsi="Times New Roman" w:eastAsia="宋体"/>
          <w:b w:val="0"/>
          <w:sz w:val="20"/>
        </w:rPr>
        <w:t>①靠增加体积赢；②靠训练或量化感知训练赢；③靠校准语料与判据同域赢（换域即失效）；④以牺牲通用能力或裁剪部件为代价换取单项领域分数——这类「赢」没有意义，直接判失败；⑤提升不可复现，或只在单一判据集上出现。</w:t>
      </w:r>
    </w:p>
    <w:p w14:paraId="0D34A558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据此如何更新。</w:t>
      </w:r>
      <w:r>
        <w:rPr>
          <w:rFonts w:ascii="Times New Roman" w:hAnsi="Times New Roman" w:eastAsia="宋体"/>
          <w:b w:val="0"/>
          <w:sz w:val="20"/>
        </w:rPr>
        <w:t>失败先做归因消融，区分「方法无效」「信息不存在」与「度量或流程被污染」。判为信息不存在的写入负结果清单永久关闭；判为方法无效的只关闭该实现分支；若失败点指向问题定义本身，则更新边界并重述目标。</w:t>
      </w:r>
    </w:p>
    <w:p w14:paraId="4DF24F9D">
      <w:pPr>
        <w:pStyle w:val="3"/>
        <w:spacing w:before="90" w:after="30"/>
      </w:pPr>
      <w:r>
        <w:rPr>
          <w:rFonts w:ascii="Times New Roman" w:hAnsi="Times New Roman" w:eastAsia="黑体"/>
          <w:b/>
          <w:sz w:val="26"/>
        </w:rPr>
        <w:t>四、</w:t>
      </w:r>
      <w:r>
        <w:rPr>
          <w:rFonts w:hint="eastAsia" w:ascii="Times New Roman" w:hAnsi="Times New Roman" w:eastAsia="黑体"/>
          <w:b/>
          <w:sz w:val="26"/>
        </w:rPr>
        <w:t>最小验证计划</w:t>
      </w:r>
    </w:p>
    <w:p w14:paraId="522DF1F0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4.1 一次试跑怎么做</w:t>
      </w:r>
    </w:p>
    <w:p w14:paraId="3CB0D217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目标。</w:t>
      </w:r>
      <w:r>
        <w:rPr>
          <w:rFonts w:ascii="Times New Roman" w:hAnsi="Times New Roman" w:eastAsia="宋体"/>
          <w:b w:val="0"/>
          <w:sz w:val="20"/>
        </w:rPr>
        <w:t>一轮之内判定：某个等体积改动，能否把三项指标朝社区件的方向推进一步。</w:t>
      </w:r>
    </w:p>
    <w:p w14:paraId="3CB0D217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输入。</w:t>
      </w:r>
      <w:r>
        <w:rPr>
          <w:rFonts w:ascii="Times New Roman" w:hAnsi="Times New Roman" w:eastAsia="宋体"/>
          <w:b w:val="0"/>
          <w:sz w:val="20"/>
        </w:rPr>
        <w:t>冻结的公开判据集；未量化模型在同一输入上的参考输出；社区同档件的公开数字；待验证配置。</w:t>
      </w:r>
    </w:p>
    <w:p w14:paraId="3CB0D217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步骤。</w:t>
      </w:r>
      <w:r>
        <w:rPr>
          <w:rFonts w:ascii="Times New Roman" w:hAnsi="Times New Roman" w:eastAsia="宋体"/>
          <w:b w:val="0"/>
          <w:sz w:val="20"/>
        </w:rPr>
        <w:t>①在少量代表性层上做小规模扫描取参数甜点（分钟级）；②按甜点量化出完整候选件；③通用尺终判——在与校准语料零重叠的公开文本上，取候选对未量化模型的 KL／top-1／困惑度比，与社区件逐项对照；④若判负，做归因消融定位是方法、信息还是流程问题。</w:t>
      </w:r>
    </w:p>
    <w:p w14:paraId="3CB0D217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输出与关键证据。</w:t>
      </w:r>
      <w:r>
        <w:rPr>
          <w:rFonts w:ascii="Times New Roman" w:hAnsi="Times New Roman" w:eastAsia="宋体"/>
          <w:b w:val="0"/>
          <w:sz w:val="20"/>
        </w:rPr>
        <w:t>三方对照表（候选／社区件／未量化上界）；判据集上的逐 token 原始记录（不摘编）；耗时与内存账单；一句话判决。图 2 给出该闭环的完整接口。</w:t>
      </w:r>
    </w:p>
    <w:p w14:paraId="2BDE458E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4.2 主要风险与失败路径</w:t>
      </w:r>
    </w:p>
    <w:p w14:paraId="7487D4F0">
      <w:pPr>
        <w:spacing w:after="24" w:before="10" w:line="240" w:lineRule="auto"/>
        <w:ind w:left="173" w:firstLine="0"/>
        <w:jc w:val="both"/>
      </w:pPr>
      <w:r>
        <w:rPr>
          <w:rFonts w:ascii="Times New Roman" w:hAnsi="Times New Roman" w:eastAsia="宋体"/>
          <w:b/>
          <w:sz w:val="20"/>
        </w:rPr>
        <w:t>判据风险。</w:t>
      </w:r>
      <w:r>
        <w:rPr>
          <w:rFonts w:ascii="Times New Roman" w:hAnsi="Times New Roman" w:eastAsia="宋体"/>
          <w:b w:val="0"/>
          <w:sz w:val="20"/>
        </w:rPr>
        <w:t>宽松判据造成虚高（0.90 对 0.52）；校准语料与判据同域也会让成绩虚高且不迁移（均已实测）。对策：主判固定在与校准语料零重叠的公开通用文本上，宽松指标只作参考。</w:t>
      </w:r>
    </w:p>
    <w:p w14:paraId="7487D4F0">
      <w:pPr>
        <w:spacing w:after="24" w:before="10" w:line="240" w:lineRule="auto"/>
        <w:ind w:left="173" w:firstLine="0"/>
        <w:jc w:val="both"/>
      </w:pPr>
      <w:r>
        <w:rPr>
          <w:rFonts w:ascii="Times New Roman" w:hAnsi="Times New Roman" w:eastAsia="宋体"/>
          <w:b/>
          <w:sz w:val="20"/>
        </w:rPr>
        <w:t>上界误读风险。</w:t>
      </w:r>
      <w:r>
        <w:rPr>
          <w:rFonts w:ascii="Times New Roman" w:hAnsi="Times New Roman" w:eastAsia="宋体"/>
          <w:b w:val="0"/>
          <w:sz w:val="20"/>
        </w:rPr>
        <w:t>把「方法无效」当成「信息不存在」，或反过来。对策：上界实验须随容量单调外推，并与另一环节的上界互证后才下判。</w:t>
      </w:r>
    </w:p>
    <w:p w14:paraId="7487D4F0">
      <w:pPr>
        <w:spacing w:after="24" w:before="10" w:line="240" w:lineRule="auto"/>
        <w:ind w:left="173" w:firstLine="0"/>
        <w:jc w:val="both"/>
      </w:pPr>
      <w:r>
        <w:rPr>
          <w:rFonts w:ascii="Times New Roman" w:hAnsi="Times New Roman" w:eastAsia="宋体"/>
          <w:b/>
          <w:sz w:val="20"/>
        </w:rPr>
        <w:t>链传播风险。</w:t>
      </w:r>
      <w:r>
        <w:rPr>
          <w:rFonts w:ascii="Times New Roman" w:hAnsi="Times New Roman" w:eastAsia="宋体"/>
          <w:b w:val="0"/>
          <w:sz w:val="20"/>
        </w:rPr>
        <w:t>局部账变好、整条链反而更差（已实测一次净负并回滚）。对策：一律以链上端到端指标判决，不采信逐层局部账。</w:t>
      </w:r>
    </w:p>
    <w:p w14:paraId="7487D4F0">
      <w:pPr>
        <w:spacing w:after="24" w:before="10" w:line="240" w:lineRule="auto"/>
        <w:ind w:left="173" w:firstLine="0"/>
        <w:jc w:val="both"/>
      </w:pPr>
      <w:r>
        <w:rPr>
          <w:rFonts w:ascii="Times New Roman" w:hAnsi="Times New Roman" w:eastAsia="宋体"/>
          <w:b/>
          <w:sz w:val="20"/>
        </w:rPr>
        <w:t>域增益的误用。</w:t>
      </w:r>
      <w:r>
        <w:rPr>
          <w:rFonts w:ascii="Times New Roman" w:hAnsi="Times New Roman" w:eastAsia="宋体"/>
          <w:b w:val="0"/>
          <w:sz w:val="20"/>
        </w:rPr>
        <w:t>专业域语料能在本域拿到数倍增益（51.6% 对 21.1%），但一旦写进本体权重或用来倾斜比特预算就会固化偏置。对策：域适配必须与本体解耦、可按域替换，本体与主判始终是通用的。</w:t>
      </w:r>
    </w:p>
    <w:p w14:paraId="7487D4F0">
      <w:pPr>
        <w:spacing w:after="24" w:before="10" w:line="240" w:lineRule="auto"/>
        <w:ind w:left="173" w:firstLine="0"/>
        <w:jc w:val="both"/>
      </w:pPr>
      <w:r>
        <w:rPr>
          <w:rFonts w:ascii="Times New Roman" w:hAnsi="Times New Roman" w:eastAsia="宋体"/>
          <w:b/>
          <w:sz w:val="20"/>
        </w:rPr>
        <w:t>失败后如何处理。</w:t>
      </w:r>
      <w:r>
        <w:rPr>
          <w:rFonts w:ascii="Times New Roman" w:hAnsi="Times New Roman" w:eastAsia="宋体"/>
          <w:b w:val="0"/>
          <w:sz w:val="20"/>
        </w:rPr>
        <w:t>保留现场 → 归因消融 → 写入日志并明确「关闭分支」或「改假设」，下一轮不重复。</w:t>
      </w:r>
    </w:p>
    <w:p w14:paraId="45B26101">
      <w:pPr>
        <w:pStyle w:val="4"/>
        <w:spacing w:before="50" w:after="2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黑体"/>
          <w:b/>
          <w:sz w:val="22"/>
        </w:rPr>
        <w:t>4.3 复现与开源计划</w:t>
      </w:r>
    </w:p>
    <w:p w14:paraId="54D9B8A6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数据来源。</w:t>
      </w:r>
      <w:r>
        <w:rPr>
          <w:rFonts w:ascii="Times New Roman" w:hAnsi="Times New Roman" w:eastAsia="宋体"/>
          <w:b w:val="0"/>
          <w:sz w:val="20"/>
        </w:rPr>
        <w:t>DeepSeek-V4-Flash 开源权重（量化对象与真值参照）、社区已发布的同档 2-bit 量化件（参照系）与 wikitext-2（判据集）；三者均为公开，不使用任何非公开数据。</w:t>
      </w:r>
    </w:p>
    <w:p w14:paraId="54D9B8A6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依赖工具与复现方式。</w:t>
      </w:r>
      <w:r>
        <w:rPr>
          <w:rFonts w:ascii="Times New Roman" w:hAnsi="Times New Roman" w:eastAsia="宋体"/>
          <w:b w:val="0"/>
          <w:sz w:val="20"/>
        </w:rPr>
        <w:t>自建的本地量化与评测工具链，全程本地运行、不依赖云服务；量化出候选与取三项指标各由一条命令完成。全部实验（含失败）带配置与原始输出归档、按轮次可检索；判据集与判定脚本随文档公开。</w:t>
      </w:r>
    </w:p>
    <w:p w14:paraId="54D9B8A6">
      <w:pPr>
        <w:spacing w:after="24" w:before="10" w:line="240" w:lineRule="auto"/>
        <w:ind w:left="173" w:firstLine="0"/>
        <w:jc w:val="both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Times New Roman" w:hAnsi="Times New Roman" w:eastAsia="宋体"/>
          <w:b/>
          <w:sz w:val="20"/>
        </w:rPr>
        <w:t>开源计划。</w:t>
      </w:r>
      <w:r>
        <w:rPr>
          <w:rFonts w:ascii="Times New Roman" w:hAnsi="Times New Roman" w:eastAsia="宋体"/>
          <w:b w:val="0"/>
          <w:sz w:val="20"/>
        </w:rPr>
        <w:t>初赛后开源评测协议、判据集构造方法、oracle 上界法实现与全部实验日志（含负结果清单）；量化与评测工具链在赛程内分阶段开源。</w:t>
      </w:r>
    </w:p>
    <w:sectPr>
      <w:headerReference r:id="rId5" w:type="default"/>
      <w:footerReference r:id="rId6" w:type="default"/>
      <w:pgSz w:w="12240" w:h="15840"/>
      <w:pgMar w:top="794" w:right="935" w:bottom="709" w:left="935" w:header="432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BE95">
    <w:pPr>
      <w:pStyle w:val="24"/>
      <w:jc w:val="right"/>
    </w:pPr>
    <w:r>
      <w:rPr>
        <w:rFonts w:ascii="Calibri" w:hAnsi="Calibri" w:eastAsia="微软雅黑"/>
        <w:b w:val="0"/>
        <w:i w:val="0"/>
        <w:color w:val="5A6573"/>
        <w:sz w:val="17"/>
      </w:rPr>
      <w:t xml:space="preserve">GOAI </w:t>
    </w:r>
    <w:r>
      <w:rPr>
        <w:rFonts w:hint="eastAsia" w:ascii="Calibri" w:hAnsi="Calibri"/>
        <w:b w:val="0"/>
        <w:i w:val="0"/>
        <w:color w:val="5A6573"/>
        <w:sz w:val="17"/>
        <w:lang w:eastAsia="zh-CN"/>
      </w:rPr>
      <w:t>AI for Research</w:t>
    </w:r>
    <w:r>
      <w:rPr>
        <w:rFonts w:ascii="Calibri" w:hAnsi="Calibri" w:eastAsia="微软雅黑"/>
        <w:b w:val="0"/>
        <w:i w:val="0"/>
        <w:color w:val="5A6573"/>
        <w:sz w:val="17"/>
      </w:rPr>
      <w:t>赛道 | 开放探索赛初赛大纲模板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8239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C5004"/>
    <w:rsid w:val="2906154B"/>
    <w:rsid w:val="30BC59A2"/>
    <w:rsid w:val="34EE2258"/>
    <w:rsid w:val="3AB92A36"/>
    <w:rsid w:val="3E58001F"/>
    <w:rsid w:val="3F6F2B7D"/>
    <w:rsid w:val="45CE0101"/>
    <w:rsid w:val="484F4157"/>
    <w:rsid w:val="60A26D69"/>
    <w:rsid w:val="62BD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718</Words>
  <Characters>762</Characters>
  <Lines>0</Lines>
  <Paragraphs>0</Paragraphs>
  <TotalTime>3</TotalTime>
  <ScaleCrop>false</ScaleCrop>
  <LinksUpToDate>false</LinksUpToDate>
  <CharactersWithSpaces>785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秦国正</cp:lastModifiedBy>
  <dcterms:modified xsi:type="dcterms:W3CDTF">2026-07-30T08:48:59Z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6FD050BDE3104BA2BE257A8281518AEF_13</vt:lpwstr>
  </property>
</Properties>
</file>