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Simulation-Based Comparison of Controlled Interrupted Time Series and Multivariable Regression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Fredrick Orwa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Charles Mutai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ldephonse Nizeyimana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Ann Mwangi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1,2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Department of Mathematics,Physics,and Computing, Moi University, Kenya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The Academic Model Providing Access to Healthcare (AMPATH), Kenya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S1: Calculated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sim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formulas for performance measures (The number of simulations was chosen using a pilot run of 100 simulations under the most restrictive setting (</w:t>
      </w:r>
      <m:oMath>
        <m:r>
          <w:rPr>
            <w:rFonts w:ascii="Cambria Math" w:cs="Cambria Math" w:eastAsia="Cambria Math" w:hAnsi="Cambria Math"/>
            <w:i w:val="1"/>
            <w:iCs w:val="1"/>
          </w:rPr>
          <m:t xml:space="preserve">n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=12,</w:t>
      </w:r>
      <m:oMath>
        <m:r>
          <m:t>ρ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=0.8,effect size(small) =-0.0408), such that the Monte Carlo standard errors for bias, mean squared error, model-based and empirical standard errors were below 0.005, and those for coverage and power were below 0.5 percentage points).</w:t>
      </w:r>
    </w:p>
    <w:tbl>
      <w:tblPr>
        <w:tblStyle w:val="Table1"/>
        <w:tblW w:w="91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4568"/>
        <w:gridCol w:w="2377"/>
        <w:tblGridChange w:id="0">
          <w:tblGrid>
            <w:gridCol w:w="2234"/>
            <w:gridCol w:w="4568"/>
            <w:gridCol w:w="2377"/>
          </w:tblGrid>
        </w:tblGridChange>
      </w:tblGrid>
      <w:tr>
        <w:trPr>
          <w:cantSplit w:val="0"/>
          <w:trHeight w:val="883.402202158845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 measure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Formula for number simulations required(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Number of simulations(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(</m:t>
                      </m:r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cs="Cambria Math" w:eastAsia="Cambria Math" w:hAnsi="Cambria Math"/>
                        </w:rPr>
                        <m:t xml:space="preserve">-</m:t>
                      </m:r>
                      <m:bar>
                        <m:barPr>
                          <m:pos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>θ</m:t>
                          </m:r>
                        </m:e>
                      </m:bar>
                      <m:r>
                        <w:rPr>
                          <w:rFonts w:ascii="Cambria Math" w:cs="Cambria Math" w:eastAsia="Cambria Math" w:hAnsi="Cambria Math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(</m:t>
                                  </m:r>
                                  <m:acc>
                                    <m:accPr>
                                      <m:chr m:val="̂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i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-</m:t>
                                  </m:r>
                                  <m:bar>
                                    <m:barPr>
                                      <m:pos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8688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before="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 square error (MSE)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(</m:t>
                              </m:r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i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-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)</m:t>
                              </m:r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-MSE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(</m:t>
                                          </m:r>
                                          <m:acc>
                                            <m:accPr>
                                              <m:chr m:val="̂"/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>θ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 xml:space="preserve">i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-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-MSE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2827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Empirical standard error(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EmpSE)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acc>
                    <m:accPr>
                      <m:chr m:val="̂"/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EmpSE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EmpSE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Model-based standard error 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ModSE)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Var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Var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>θ</m:t>
                                  </m:r>
                                </m:e>
                              </m:acc>
                            </m:e>
                          </m:d>
                        </m:e>
                      </m:acc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ModSE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  <m:t xml:space="preserve">ModSE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95% Coverage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Coverage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1-Coverage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Coverage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80% Power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Power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1-Power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Power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6400</w:t>
            </w:r>
          </w:p>
        </w:tc>
      </w:tr>
    </w:tbl>
    <w:p w:rsidR="00000000" w:rsidDel="00000000" w:rsidP="00000000" w:rsidRDefault="00000000" w:rsidRPr="00000000" w14:paraId="0000002F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Here, MCSE denotes the desired Monte Carlo standard error and </w:t>
      </w:r>
      <m:oMath>
        <m:r>
          <m:t>ρ</m:t>
        </m:r>
      </m:oMath>
      <w:r w:rsidDel="00000000" w:rsidR="00000000" w:rsidRPr="00000000">
        <w:rPr>
          <w:rtl w:val="0"/>
        </w:rPr>
        <w:t xml:space="preserve"> denotes lag-1 auto-correlation. Consequently, the largest required number of simulations (8,688) was selected.</w:t>
      </w:r>
    </w:p>
    <w:p w:rsidR="00000000" w:rsidDel="00000000" w:rsidP="00000000" w:rsidRDefault="00000000" w:rsidRPr="00000000" w14:paraId="00000030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S2: Summary of key studies informing parameters of this study</w:t>
      </w:r>
    </w:p>
    <w:tbl>
      <w:tblPr>
        <w:tblStyle w:val="Table2"/>
        <w:tblW w:w="9021.0" w:type="dxa"/>
        <w:jc w:val="left"/>
        <w:tblInd w:w="-5.0" w:type="dxa"/>
        <w:tblLayout w:type="fixed"/>
        <w:tblLook w:val="0400"/>
      </w:tblPr>
      <w:tblGrid>
        <w:gridCol w:w="3578"/>
        <w:gridCol w:w="820"/>
        <w:gridCol w:w="4623"/>
        <w:tblGridChange w:id="0">
          <w:tblGrid>
            <w:gridCol w:w="3578"/>
            <w:gridCol w:w="820"/>
            <w:gridCol w:w="4623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Link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Hammitt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https://doi.org/10.1016/S0140-6736(18)33005-8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Silaba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https://doi.org/10.1016/S2214-109X(18)30491-1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Bottomley, Isham</w:t>
              <w:br w:type="textWrapping"/>
              <w:t xml:space="preserve">&amp; Scott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https://doi.org/10.1515/em-2018-0010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Lopez Bernal et 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https://pubmed.ncbi.nlm.nih.gov/27283160/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Haeusler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https://doi.org/10.1371/journal.pgph.0004888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Ong’ayo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https://doi.org/10.1016/S2214-109X(19)30188-3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Turner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https://pubmed.ncbi.nlm.nih.gov/34454418/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Talbert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https://pubmed.ncbi.nlm.nih.gov/36631234/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TP Morris, IR White &amp; MJ Crowther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  <w:rtl w:val="0"/>
              </w:rPr>
              <w:t xml:space="preserve"> https://doi.org/10.1002/sim.8086</w:t>
            </w:r>
          </w:p>
        </w:tc>
      </w:tr>
    </w:tbl>
    <w:p w:rsidR="00000000" w:rsidDel="00000000" w:rsidP="00000000" w:rsidRDefault="00000000" w:rsidRPr="00000000" w14:paraId="00000054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S3: Definitions of performance measures.</w:t>
      </w:r>
    </w:p>
    <w:tbl>
      <w:tblPr>
        <w:tblStyle w:val="Table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93"/>
        <w:gridCol w:w="3005"/>
        <w:gridCol w:w="3628"/>
        <w:tblGridChange w:id="0">
          <w:tblGrid>
            <w:gridCol w:w="2293"/>
            <w:gridCol w:w="3005"/>
            <w:gridCol w:w="36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Performance measure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60375" cy="175260"/>
                  <wp:effectExtent b="0" l="0" r="0" t="0"/>
                  <wp:docPr descr="C:\Users\THINKPAD\AppData\Local\Temp\ksohtml3608\wps14.jpg" id="15" name="image5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4.jpg"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765175" cy="427990"/>
                  <wp:effectExtent b="0" l="0" r="0" t="0"/>
                  <wp:docPr descr="C:\Users\THINKPAD\AppData\Local\Temp\ksohtml3608\wps15.jpg" id="17" name="image8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5.jpg"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Empirical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410" cy="304800"/>
                  <wp:effectExtent b="0" l="0" r="0" t="0"/>
                  <wp:docPr descr="C:\Users\THINKPAD\AppData\Local\Temp\ksohtml3608\wps16.jpg" id="16" name="image6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6.jpg"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245235" cy="589915"/>
                  <wp:effectExtent b="0" l="0" r="0" t="0"/>
                  <wp:docPr descr="C:\Users\THINKPAD\AppData\Local\Temp\ksohtml3608\wps17.jpg" id="19" name="image13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7.jpg" id="0" name="image1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589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square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687705" cy="226695"/>
                  <wp:effectExtent b="0" l="0" r="0" t="0"/>
                  <wp:docPr descr="C:\Users\THINKPAD\AppData\Local\Temp\ksohtml3608\wps18.jpg" id="18" name="image2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8.jpg" id="0" name="image2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26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34085" cy="427990"/>
                  <wp:effectExtent b="0" l="0" r="0" t="0"/>
                  <wp:docPr descr="C:\Users\THINKPAD\AppData\Local\Temp\ksohtml3608\wps19.jpg" id="22" name="image7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9.jpg"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096010" cy="175260"/>
                  <wp:effectExtent b="0" l="0" r="0" t="0"/>
                  <wp:docPr descr="C:\Users\THINKPAD\AppData\Local\Temp\ksohtml3608\wps20.jpg" id="21" name="image4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0.jpg" id="0" name="image4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62735" cy="427990"/>
                  <wp:effectExtent b="0" l="0" r="0" t="0"/>
                  <wp:docPr descr="C:\Users\THINKPAD\AppData\Local\Temp\ksohtml3608\wps21.jpg" id="24" name="image10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1.jpg" id="0" name="image10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583565" cy="142875"/>
                  <wp:effectExtent b="0" l="0" r="0" t="0"/>
                  <wp:docPr descr="C:\Users\THINKPAD\AppData\Local\Temp\ksohtml3608\wps22.jpg" id="23" name="image3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2.jpg" id="0" name="image3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53135" cy="427990"/>
                  <wp:effectExtent b="0" l="0" r="0" t="0"/>
                  <wp:docPr descr="C:\Users\THINKPAD\AppData\Local\Temp\ksohtml3608\wps23.jpg" id="26" name="image9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3.jpg" id="0" name="image9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model-based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E</m:t>
                  </m:r>
                  <m:r>
                    <w:rPr/>
                    <m:t xml:space="preserve">⌊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</m:d>
                  <m:r>
                    <w:rPr/>
                    <m:t xml:space="preserve">⌋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mbria Math" w:cs="Cambria Math" w:eastAsia="Cambria Math" w:hAnsi="Cambria Math"/>
                <w:sz w:val="20"/>
                <w:szCs w:val="20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)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</w:t>
      </w:r>
      <m:oMath>
        <m:r>
          <m:t>θ</m:t>
        </m:r>
      </m:oMath>
      <w:r w:rsidDel="00000000" w:rsidR="00000000" w:rsidRPr="00000000">
        <w:rPr>
          <w:rtl w:val="0"/>
        </w:rPr>
        <w:t xml:space="preserve"> represents the parameter under investigation,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</m:oMath>
      <w:r w:rsidDel="00000000" w:rsidR="00000000" w:rsidRPr="00000000">
        <w:rPr>
          <w:rtl w:val="0"/>
        </w:rPr>
        <w:t xml:space="preserve">being the estimate of that parameter,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bar>
          <m:barPr>
            <m:pos/>
          </m:barPr>
          <m:e>
            <m:r>
              <m:t>θ</m:t>
            </m:r>
          </m:e>
        </m:ba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mean value of the estimate,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sim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number of simulations (in this study, 86,88),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97155" cy="142875"/>
            <wp:effectExtent b="0" l="0" r="0" t="0"/>
            <wp:docPr descr="C:\Users\THINKPAD\AppData\Local\Temp\ksohtml32616\wps5.jpg" id="25" name="image1.jpg"/>
            <a:graphic>
              <a:graphicData uri="http://schemas.openxmlformats.org/drawingml/2006/picture">
                <pic:pic>
                  <pic:nvPicPr>
                    <pic:cNvPr descr="C:\Users\THINKPAD\AppData\Local\Temp\ksohtml32616\wps5.jpg"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p-value of estimate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m:t>α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significance level (5%).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bookmarkStart w:colFirst="0" w:colLast="0" w:name="_heading=h.kr9g1i1u2gye" w:id="0"/>
      <w:bookmarkEnd w:id="0"/>
      <w:r w:rsidDel="00000000" w:rsidR="00000000" w:rsidRPr="00000000">
        <w:rPr>
          <w:b w:val="1"/>
          <w:bCs w:val="1"/>
          <w:rtl w:val="0"/>
        </w:rPr>
        <w:t xml:space="preserve">Supplementary Figure 1.</w:t>
      </w:r>
      <w:r w:rsidDel="00000000" w:rsidR="00000000" w:rsidRPr="00000000">
        <w:rPr>
          <w:rtl w:val="0"/>
        </w:rPr>
        <w:t xml:space="preserve"> Results from the multivariable negative binomial regression (A), controlled interrupted time series model (B), and controlled interrupted time series model with control-series autocorrelation fixed at 0.4 (C).</w:t>
      </w:r>
    </w:p>
    <w:p w:rsidR="00000000" w:rsidDel="00000000" w:rsidP="00000000" w:rsidRDefault="00000000" w:rsidRPr="00000000" w14:paraId="00000084">
      <w:pPr>
        <w:rPr/>
      </w:pPr>
      <w:bookmarkStart w:colFirst="0" w:colLast="0" w:name="_heading=h.5f45pu8uitd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bookmarkStart w:colFirst="0" w:colLast="0" w:name="_heading=h.duj50pv9d0d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bookmarkStart w:colFirst="0" w:colLast="0" w:name="_heading=h.2pdqlwrjwovh" w:id="3"/>
      <w:bookmarkEnd w:id="3"/>
      <w:r w:rsidDel="00000000" w:rsidR="00000000" w:rsidRPr="00000000">
        <w:rPr/>
        <w:drawing>
          <wp:inline distB="114300" distT="114300" distL="114300" distR="114300">
            <wp:extent cx="5919788" cy="337185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bookmarkStart w:colFirst="0" w:colLast="0" w:name="_heading=h.qxagrgx6bplj" w:id="4"/>
      <w:bookmarkEnd w:id="4"/>
      <w:r w:rsidDel="00000000" w:rsidR="00000000" w:rsidRPr="00000000">
        <w:rPr>
          <w:b w:val="1"/>
          <w:bCs w:val="1"/>
          <w:rtl w:val="0"/>
        </w:rPr>
        <w:t xml:space="preserve">Supplementary Figure 2.</w:t>
      </w:r>
      <w:r w:rsidDel="00000000" w:rsidR="00000000" w:rsidRPr="00000000">
        <w:rPr>
          <w:rtl w:val="0"/>
        </w:rPr>
        <w:t xml:space="preserve"> Empirical standard errors from the multivariable negative binomial regression (multivariable NB) and the controlled interrupted time series (CITS) model in which the control series shares the exact lag-1 autocorrelation magnitude (ρ) with the outcome series (Yt), as well as CITS with fixed autocorrelation (ρ = 0.4).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semiHidden w:val="1"/>
    <w:unhideWhenUsed w:val="1"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21" w:customStyle="1">
    <w:name w:val="Plain Table 21"/>
    <w:basedOn w:val="TableNormal"/>
    <w:uiPriority w:val="42"/>
    <w:rPr>
      <w:rFonts w:eastAsia="Times New Roman"/>
    </w:rPr>
    <w:tblPr>
      <w:tblBorders>
        <w:top w:color="7e7e7e" w:space="0" w:sz="4" w:val="single"/>
        <w:bottom w:color="7e7e7e" w:space="0" w:sz="4" w:val="single"/>
      </w:tblBorders>
    </w:tblPr>
    <w:tblStylePr w:type="firstRow">
      <w:rPr>
        <w:rFonts w:ascii="Times New Roman" w:cs="Times New Roman" w:hAnsi="Times New Roman" w:hint="default"/>
        <w:b w:val="1"/>
        <w:bCs w:val="1"/>
      </w:rPr>
      <w:tblPr/>
      <w:tcPr>
        <w:tcBorders>
          <w:bottom w:color="7e7e7e" w:space="0" w:sz="4" w:val="single"/>
        </w:tcBorders>
      </w:tcPr>
    </w:tblStylePr>
    <w:tblStylePr w:type="lastRow">
      <w:rPr>
        <w:rFonts w:ascii="Times New Roman" w:cs="Times New Roman" w:hAnsi="Times New Roman" w:hint="default"/>
        <w:b w:val="1"/>
        <w:bCs w:val="1"/>
      </w:rPr>
      <w:tblPr/>
      <w:tcPr>
        <w:tcBorders>
          <w:top w:color="7e7e7e" w:space="0" w:sz="4" w:val="single"/>
        </w:tcBorders>
      </w:tcPr>
    </w:tblStylePr>
    <w:tblStylePr w:type="firstCol">
      <w:rPr>
        <w:rFonts w:ascii="Times New Roman" w:cs="Times New Roman" w:hAnsi="Times New Roman" w:hint="default"/>
        <w:b w:val="1"/>
        <w:bCs w:val="1"/>
      </w:rPr>
    </w:tblStylePr>
    <w:tblStylePr w:type="lastCol">
      <w:rPr>
        <w:rFonts w:ascii="Times New Roman" w:cs="Times New Roman" w:hAnsi="Times New Roman" w:hint="default"/>
        <w:b w:val="1"/>
        <w:bCs w:val="1"/>
      </w:rPr>
    </w:tblStylePr>
    <w:tblStylePr w:type="band1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1Horz">
      <w:tblPr/>
      <w:tcPr>
        <w:tcBorders>
          <w:top w:color="7e7e7e" w:space="0" w:sz="4" w:val="single"/>
          <w:bottom w:color="7e7e7e" w:space="0" w:sz="4" w:val="single"/>
        </w:tcBorders>
      </w:tcPr>
    </w:tblStyle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ascii="Arial" w:cs="Times New Roman" w:eastAsia="Calibri" w:hAnsi="Arial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rFonts w:ascii="Arial" w:cs="Times New Roman" w:eastAsia="Calibri" w:hAnsi="Arial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F7CC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e7e7e" w:space="0" w:sz="4" w:val="single"/>
          <w:bottom w:color="7e7e7e" w:space="0" w:sz="4" w:val="single"/>
        </w:tcBorders>
      </w:tcPr>
    </w:tblStylePr>
    <w:tblStylePr w:type="band1Vert"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cPr>
        <w:tcBorders>
          <w:left w:color="7e7e7e" w:space="0" w:sz="4" w:val="single"/>
          <w:right w:color="7e7e7e" w:space="0" w:sz="4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</w:rPr>
    </w:tblStylePr>
    <w:tblStylePr w:type="firstRow">
      <w:rPr>
        <w:rFonts w:ascii="Times New Roman" w:cs="Times New Roman" w:eastAsia="Times New Roman" w:hAnsi="Times New Roman"/>
        <w:b w:val="1"/>
        <w:bCs w:val="1"/>
      </w:rPr>
      <w:tcPr>
        <w:tcBorders>
          <w:bottom w:color="7e7e7e" w:space="0" w:sz="4" w:val="single"/>
        </w:tcBorders>
      </w:tcPr>
    </w:tblStylePr>
    <w:tblStylePr w:type="lastCol">
      <w:rPr>
        <w:rFonts w:ascii="Times New Roman" w:cs="Times New Roman" w:eastAsia="Times New Roman" w:hAnsi="Times New Roman"/>
        <w:b w:val="1"/>
        <w:bCs w:val="1"/>
      </w:rPr>
    </w:tblStylePr>
    <w:tblStylePr w:type="lastRow">
      <w:rPr>
        <w:rFonts w:ascii="Times New Roman" w:cs="Times New Roman" w:eastAsia="Times New Roman" w:hAnsi="Times New Roman"/>
        <w:b w:val="1"/>
        <w:bCs w:val="1"/>
      </w:rPr>
      <w:tcPr>
        <w:tcBorders>
          <w:top w:color="7e7e7e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14.png"/><Relationship Id="rId21" Type="http://schemas.openxmlformats.org/officeDocument/2006/relationships/image" Target="media/image1.jpg"/><Relationship Id="rId24" Type="http://schemas.openxmlformats.org/officeDocument/2006/relationships/image" Target="media/image1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S2214-109X(19)30188-3" TargetMode="Externa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16/S0140-6736(18)33005-8" TargetMode="External"/><Relationship Id="rId8" Type="http://schemas.openxmlformats.org/officeDocument/2006/relationships/hyperlink" Target="https://doi.org/10.1371/journal.pgph.0004888" TargetMode="External"/><Relationship Id="rId11" Type="http://schemas.openxmlformats.org/officeDocument/2006/relationships/image" Target="media/image5.jpg"/><Relationship Id="rId10" Type="http://schemas.openxmlformats.org/officeDocument/2006/relationships/hyperlink" Target="https://pubmed.ncbi.nlm.nih.gov/34454418/" TargetMode="External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5" Type="http://schemas.openxmlformats.org/officeDocument/2006/relationships/image" Target="media/image2.jpg"/><Relationship Id="rId14" Type="http://schemas.openxmlformats.org/officeDocument/2006/relationships/image" Target="media/image13.jpg"/><Relationship Id="rId17" Type="http://schemas.openxmlformats.org/officeDocument/2006/relationships/image" Target="media/image4.jpg"/><Relationship Id="rId16" Type="http://schemas.openxmlformats.org/officeDocument/2006/relationships/image" Target="media/image7.jpg"/><Relationship Id="rId19" Type="http://schemas.openxmlformats.org/officeDocument/2006/relationships/image" Target="media/image3.jpg"/><Relationship Id="rId1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ZaNNB+Rlyqel6p150DtmFp/eQ==">CgMxLjAyDmgua3I5ZzFpMXUyZ3llMg5oLjVmNDVwdTh1aXRkbDIOaC5kdWo1MHB2OWQwZDgyDmguMnBkcWx3cmp3b3ZoMg5oLnF4YWdyZ3g2YnBsajgAciExWXNXNkpmbmgxeDFoWjVUdnhSMjAyS2hjZTJjSmx0RnY=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2025-12-24T09:10:00Z</dcterms:created>
  <dc:creator>THINKPAD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2F1498F49B9E4585A60AD69224253D68_13</vt:lpwstr>
  </property>
</Properties>
</file>