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403" w:rsidRDefault="00F323A2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Simulation-Based Comparison of Controlled Interrupted Time Series and Multivariable Regression</w:t>
      </w:r>
    </w:p>
    <w:p w:rsidR="00763403" w:rsidRDefault="00F323A2">
      <w:pPr>
        <w:rPr>
          <w:rFonts w:ascii="Times New Roman" w:eastAsia="Times New Roman" w:hAnsi="Times New Roman" w:cs="Times New Roman"/>
        </w:rPr>
      </w:pP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Fredrick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Orwa</m:t>
            </m:r>
          </m:e>
          <m:sup>
            <m:r>
              <w:rPr>
                <w:rFonts w:ascii="Cambria Math" w:eastAsia="Cambria Math" w:hAnsi="Cambria Math" w:cs="Cambria Math"/>
              </w:rPr>
              <m:t>1,3</m:t>
            </m:r>
          </m:sup>
        </m:sSup>
        <m:r>
          <w:rPr>
            <w:rFonts w:ascii="Cambria Math" w:eastAsia="Cambria Math" w:hAnsi="Cambria Math" w:cs="Cambria Math"/>
          </w:rPr>
          <m:t>,</m:t>
        </m:r>
      </m:oMath>
      <w:r>
        <w:rPr>
          <w:rFonts w:ascii="Times New Roman" w:eastAsia="Times New Roman" w:hAnsi="Times New Roman" w:cs="Times New Roman"/>
        </w:rPr>
        <w:t>,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C</m:t>
            </m:r>
            <m:r>
              <w:rPr>
                <w:rFonts w:ascii="Cambria Math" w:eastAsia="Cambria Math" w:hAnsi="Cambria Math" w:cs="Cambria Math"/>
              </w:rPr>
              <m:t>h</m:t>
            </m:r>
            <m:r>
              <w:rPr>
                <w:rFonts w:ascii="Cambria Math" w:eastAsia="Cambria Math" w:hAnsi="Cambria Math" w:cs="Cambria Math"/>
              </w:rPr>
              <m:t>arles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Mutai</m:t>
            </m:r>
          </m:e>
          <m:sup>
            <m:r>
              <w:rPr>
                <w:rFonts w:ascii="Cambria Math" w:eastAsia="Cambria Math" w:hAnsi="Cambria Math" w:cs="Cambria Math"/>
              </w:rPr>
              <m:t>1</m:t>
            </m:r>
          </m:sup>
        </m:sSup>
      </m:oMath>
      <w:r>
        <w:rPr>
          <w:rFonts w:ascii="Cambria Math" w:eastAsia="Cambria Math" w:hAnsi="Cambria Math" w:cs="Cambria Math"/>
        </w:rPr>
        <w:t>,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ldep</m:t>
            </m:r>
            <m:r>
              <w:rPr>
                <w:rFonts w:ascii="Cambria Math" w:eastAsia="Cambria Math" w:hAnsi="Cambria Math" w:cs="Cambria Math"/>
              </w:rPr>
              <m:t>h</m:t>
            </m:r>
            <m:r>
              <w:rPr>
                <w:rFonts w:ascii="Cambria Math" w:eastAsia="Cambria Math" w:hAnsi="Cambria Math" w:cs="Cambria Math"/>
              </w:rPr>
              <m:t>onse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Nizeyimana</m:t>
            </m:r>
          </m:e>
          <m:sup>
            <m:r>
              <w:rPr>
                <w:rFonts w:ascii="Cambria Math" w:eastAsia="Cambria Math" w:hAnsi="Cambria Math" w:cs="Cambria Math"/>
              </w:rPr>
              <m:t>1</m:t>
            </m:r>
          </m:sup>
        </m:sSup>
      </m:oMath>
      <w:r>
        <w:rPr>
          <w:rFonts w:ascii="Times New Roman" w:eastAsia="Times New Roman" w:hAnsi="Times New Roman" w:cs="Times New Roman"/>
        </w:rPr>
        <w:t>,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</w:rPr>
              <m:t>Ann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Mwangi</m:t>
            </m:r>
          </m:e>
          <m:sup>
            <m:r>
              <w:rPr>
                <w:rFonts w:ascii="Cambria Math" w:eastAsia="Cambria Math" w:hAnsi="Cambria Math" w:cs="Cambria Math"/>
              </w:rPr>
              <m:t>1,2</m:t>
            </m:r>
          </m:sup>
        </m:sSup>
      </m:oMath>
    </w:p>
    <w:p w:rsidR="00763403" w:rsidRDefault="00F323A2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 xml:space="preserve">   </m:t>
              </m:r>
              <m:r>
                <w:rPr>
                  <w:rFonts w:ascii="Cambria Math" w:eastAsia="Cambria Math" w:hAnsi="Cambria Math" w:cs="Cambria Math"/>
                </w:rPr>
                <m:t>1</m:t>
              </m:r>
            </m:e>
            <m:sub>
              <m:r>
                <w:rPr>
                  <w:rFonts w:ascii="Cambria Math" w:eastAsia="Cambria Math" w:hAnsi="Cambria Math" w:cs="Cambria Math"/>
                </w:rPr>
                <m:t>Department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of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Mat</m:t>
              </m:r>
              <m:r>
                <w:rPr>
                  <w:rFonts w:ascii="Cambria Math" w:eastAsia="Cambria Math" w:hAnsi="Cambria Math" w:cs="Cambria Math"/>
                </w:rPr>
                <m:t>h</m:t>
              </m:r>
              <m:r>
                <w:rPr>
                  <w:rFonts w:ascii="Cambria Math" w:eastAsia="Cambria Math" w:hAnsi="Cambria Math" w:cs="Cambria Math"/>
                </w:rPr>
                <m:t>ematics</m:t>
              </m:r>
              <m:r>
                <w:rPr>
                  <w:rFonts w:ascii="Cambria Math" w:eastAsia="Cambria Math" w:hAnsi="Cambria Math" w:cs="Cambria Math"/>
                </w:rPr>
                <m:t>,</m:t>
              </m:r>
              <m:r>
                <w:rPr>
                  <w:rFonts w:ascii="Cambria Math" w:eastAsia="Cambria Math" w:hAnsi="Cambria Math" w:cs="Cambria Math"/>
                </w:rPr>
                <m:t>P</m:t>
              </m:r>
              <m:r>
                <w:rPr>
                  <w:rFonts w:ascii="Cambria Math" w:eastAsia="Cambria Math" w:hAnsi="Cambria Math" w:cs="Cambria Math"/>
                </w:rPr>
                <m:t>h</m:t>
              </m:r>
              <m:r>
                <w:rPr>
                  <w:rFonts w:ascii="Cambria Math" w:eastAsia="Cambria Math" w:hAnsi="Cambria Math" w:cs="Cambria Math"/>
                </w:rPr>
                <m:t>ysics</m:t>
              </m:r>
              <m:r>
                <w:rPr>
                  <w:rFonts w:ascii="Cambria Math" w:eastAsia="Cambria Math" w:hAnsi="Cambria Math" w:cs="Cambria Math"/>
                </w:rPr>
                <m:t>,</m:t>
              </m:r>
              <m:r>
                <w:rPr>
                  <w:rFonts w:ascii="Cambria Math" w:eastAsia="Cambria Math" w:hAnsi="Cambria Math" w:cs="Cambria Math"/>
                </w:rPr>
                <m:t>and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Computing</m:t>
              </m:r>
              <m:r>
                <w:rPr>
                  <w:rFonts w:ascii="Cambria Math" w:eastAsia="Cambria Math" w:hAnsi="Cambria Math" w:cs="Cambria Math"/>
                </w:rPr>
                <m:t xml:space="preserve">, </m:t>
              </m:r>
              <m:r>
                <w:rPr>
                  <w:rFonts w:ascii="Cambria Math" w:eastAsia="Cambria Math" w:hAnsi="Cambria Math" w:cs="Cambria Math"/>
                </w:rPr>
                <m:t>Moi</m:t>
              </m:r>
              <m:r>
                <w:rPr>
                  <w:rFonts w:ascii="Cambria Math" w:eastAsia="Cambria Math" w:hAnsi="Cambria Math" w:cs="Cambria Math"/>
                </w:rPr>
                <m:t xml:space="preserve"> </m:t>
              </m:r>
              <m:r>
                <w:rPr>
                  <w:rFonts w:ascii="Cambria Math" w:eastAsia="Cambria Math" w:hAnsi="Cambria Math" w:cs="Cambria Math"/>
                </w:rPr>
                <m:t>University</m:t>
              </m:r>
              <m:r>
                <w:rPr>
                  <w:rFonts w:ascii="Cambria Math" w:eastAsia="Cambria Math" w:hAnsi="Cambria Math" w:cs="Cambria Math"/>
                </w:rPr>
                <m:t xml:space="preserve">, </m:t>
              </m:r>
              <m:r>
                <w:rPr>
                  <w:rFonts w:ascii="Cambria Math" w:eastAsia="Cambria Math" w:hAnsi="Cambria Math" w:cs="Cambria Math"/>
                </w:rPr>
                <m:t>Kenya</m:t>
              </m:r>
            </m:sub>
          </m:sSub>
        </m:oMath>
      </m:oMathPara>
    </w:p>
    <w:p w:rsidR="00F323A2" w:rsidRPr="00F323A2" w:rsidRDefault="00F323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2</m:t>
            </m:r>
          </m:e>
          <m:sub>
            <m:r>
              <w:rPr>
                <w:rFonts w:ascii="Cambria Math" w:eastAsia="Cambria Math" w:hAnsi="Cambria Math" w:cs="Cambria Math"/>
              </w:rPr>
              <m:t>T</m:t>
            </m:r>
            <m:r>
              <w:rPr>
                <w:rFonts w:ascii="Cambria Math" w:eastAsia="Cambria Math" w:hAnsi="Cambria Math" w:cs="Cambria Math"/>
              </w:rPr>
              <m:t>h</m:t>
            </m:r>
            <m:r>
              <w:rPr>
                <w:rFonts w:ascii="Cambria Math" w:eastAsia="Cambria Math" w:hAnsi="Cambria Math" w:cs="Cambria Math"/>
              </w:rPr>
              <m:t>e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Academic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Model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Providing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Access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to</m:t>
            </m:r>
            <m:r>
              <w:rPr>
                <w:rFonts w:ascii="Cambria Math" w:eastAsia="Cambria Math" w:hAnsi="Cambria Math" w:cs="Cambria Math"/>
              </w:rPr>
              <m:t xml:space="preserve"> </m:t>
            </m:r>
            <m:r>
              <w:rPr>
                <w:rFonts w:ascii="Cambria Math" w:eastAsia="Cambria Math" w:hAnsi="Cambria Math" w:cs="Cambria Math"/>
              </w:rPr>
              <m:t>Healt</m:t>
            </m:r>
            <m:r>
              <w:rPr>
                <w:rFonts w:ascii="Cambria Math" w:eastAsia="Cambria Math" w:hAnsi="Cambria Math" w:cs="Cambria Math"/>
              </w:rPr>
              <m:t>h</m:t>
            </m:r>
            <m:r>
              <w:rPr>
                <w:rFonts w:ascii="Cambria Math" w:eastAsia="Cambria Math" w:hAnsi="Cambria Math" w:cs="Cambria Math"/>
              </w:rPr>
              <m:t>care</m:t>
            </m:r>
            <m:r>
              <w:rPr>
                <w:rFonts w:ascii="Cambria Math" w:eastAsia="Cambria Math" w:hAnsi="Cambria Math" w:cs="Cambria Math"/>
              </w:rPr>
              <m:t xml:space="preserve"> (</m:t>
            </m:r>
            <m:r>
              <w:rPr>
                <w:rFonts w:ascii="Cambria Math" w:eastAsia="Cambria Math" w:hAnsi="Cambria Math" w:cs="Cambria Math"/>
              </w:rPr>
              <m:t>AMPAT</m:t>
            </m:r>
            <m:r>
              <w:rPr>
                <w:rFonts w:ascii="Cambria Math" w:eastAsia="Cambria Math" w:hAnsi="Cambria Math" w:cs="Cambria Math"/>
              </w:rPr>
              <m:t>H</m:t>
            </m:r>
            <m:r>
              <w:rPr>
                <w:rFonts w:ascii="Cambria Math" w:eastAsia="Cambria Math" w:hAnsi="Cambria Math" w:cs="Cambria Math"/>
              </w:rPr>
              <m:t xml:space="preserve">), </m:t>
            </m:r>
            <m:r>
              <w:rPr>
                <w:rFonts w:ascii="Cambria Math" w:eastAsia="Cambria Math" w:hAnsi="Cambria Math" w:cs="Cambria Math"/>
              </w:rPr>
              <m:t>Kenya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  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 xml:space="preserve">                         3</m:t>
            </m:r>
          </m:e>
          <m:sub>
            <m:r>
              <w:rPr>
                <w:rFonts w:ascii="Cambria Math" w:eastAsia="Cambria Math" w:hAnsi="Cambria Math" w:cs="Cambria Math"/>
              </w:rPr>
              <m:t>Center for Epidemiological Modelling and Analysis (CEMA)</m:t>
            </m:r>
          </m:sub>
        </m:sSub>
      </m:oMath>
    </w:p>
    <w:p w:rsidR="00763403" w:rsidRDefault="00F323A2">
      <w:pPr>
        <w:rPr>
          <w:rFonts w:ascii="Cambria Math" w:eastAsia="Cambria Math" w:hAnsi="Cambria Math" w:cs="Cambria Math"/>
        </w:rPr>
      </w:pPr>
      <w:r>
        <w:rPr>
          <w:rFonts w:ascii="Times New Roman" w:eastAsia="Times New Roman" w:hAnsi="Times New Roman" w:cs="Times New Roman"/>
        </w:rPr>
        <w:t xml:space="preserve">                     </w:t>
      </w:r>
      <m:oMath>
        <m:sSub>
          <m:sSubPr>
            <m:ctrlPr>
              <w:rPr>
                <w:rFonts w:ascii="Cambria Math" w:eastAsia="Cambria Math" w:hAnsi="Cambria Math" w:cs="Cambria Math"/>
                <w:b/>
                <w:bCs/>
                <w:color w:val="FFFFFF"/>
                <w:sz w:val="30"/>
                <w:szCs w:val="30"/>
              </w:rPr>
            </m:ctrlPr>
          </m:sSubPr>
          <m:e/>
          <m:sub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Center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 xml:space="preserve"> 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for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 xml:space="preserve"> 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Epidemiological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 xml:space="preserve"> 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Modelling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 xml:space="preserve"> 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and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 xml:space="preserve"> 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Analysis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 xml:space="preserve"> (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CEMA</m:t>
            </m:r>
            <m:r>
              <m:rPr>
                <m:sty m:val="bi"/>
              </m:rPr>
              <w:rPr>
                <w:rFonts w:ascii="Cambria Math" w:eastAsia="Cambria Math" w:hAnsi="Cambria Math" w:cs="Cambria Math"/>
                <w:color w:val="FFFFFF"/>
                <w:sz w:val="30"/>
                <w:szCs w:val="30"/>
              </w:rPr>
              <m:t>)</m:t>
            </m:r>
          </m:sub>
        </m:sSub>
      </m:oMath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763403">
      <w:pPr>
        <w:rPr>
          <w:rFonts w:ascii="Times New Roman" w:eastAsia="Times New Roman" w:hAnsi="Times New Roman" w:cs="Times New Roman"/>
        </w:rPr>
      </w:pPr>
    </w:p>
    <w:p w:rsidR="00763403" w:rsidRDefault="00F323A2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Table S1: Calculated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</w:rPr>
              <m:t>sim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formulas for performance measures (The number of simulations was</w:t>
      </w:r>
      <w:r>
        <w:rPr>
          <w:rFonts w:ascii="Times New Roman" w:eastAsia="Times New Roman" w:hAnsi="Times New Roman" w:cs="Times New Roman"/>
        </w:rPr>
        <w:t xml:space="preserve"> chosen using a pilot run of 100 simulations under the most restrictive setting (</w:t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</w:rPr>
          <m:t xml:space="preserve"> </m:t>
        </m:r>
      </m:oMath>
      <w:r>
        <w:rPr>
          <w:rFonts w:ascii="Times New Roman" w:eastAsia="Times New Roman" w:hAnsi="Times New Roman" w:cs="Times New Roman"/>
        </w:rPr>
        <w:t>=12,</w:t>
      </w:r>
      <m:oMath>
        <m:r>
          <w:rPr>
            <w:rFonts w:ascii="Cambria Math" w:hAnsi="Cambria Math"/>
          </w:rPr>
          <m:t>ρ</m:t>
        </m:r>
      </m:oMath>
      <w:r>
        <w:t xml:space="preserve"> </w:t>
      </w:r>
      <w:r>
        <w:rPr>
          <w:rFonts w:ascii="Times New Roman" w:eastAsia="Times New Roman" w:hAnsi="Times New Roman" w:cs="Times New Roman"/>
        </w:rPr>
        <w:t>=0.8</w:t>
      </w:r>
      <w:proofErr w:type="gramStart"/>
      <w:r>
        <w:rPr>
          <w:rFonts w:ascii="Times New Roman" w:eastAsia="Times New Roman" w:hAnsi="Times New Roman" w:cs="Times New Roman"/>
        </w:rPr>
        <w:t>,effect</w:t>
      </w:r>
      <w:proofErr w:type="gramEnd"/>
      <w:r>
        <w:rPr>
          <w:rFonts w:ascii="Times New Roman" w:eastAsia="Times New Roman" w:hAnsi="Times New Roman" w:cs="Times New Roman"/>
        </w:rPr>
        <w:t xml:space="preserve"> size(small) =-0.0408), such that the Monte Carlo standard errors for bias, mean squared error, model-based and empirical standard errors were below 0.005</w:t>
      </w:r>
      <w:r>
        <w:rPr>
          <w:rFonts w:ascii="Times New Roman" w:eastAsia="Times New Roman" w:hAnsi="Times New Roman" w:cs="Times New Roman"/>
        </w:rPr>
        <w:t>, and those for coverage and power were below 0.5 percentage points).</w:t>
      </w:r>
    </w:p>
    <w:tbl>
      <w:tblPr>
        <w:tblStyle w:val="a"/>
        <w:tblW w:w="91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4"/>
        <w:gridCol w:w="4568"/>
        <w:gridCol w:w="2377"/>
      </w:tblGrid>
      <w:tr w:rsidR="00763403">
        <w:trPr>
          <w:trHeight w:val="883"/>
        </w:trPr>
        <w:tc>
          <w:tcPr>
            <w:tcW w:w="2234" w:type="dxa"/>
          </w:tcPr>
          <w:p w:rsidR="00763403" w:rsidRDefault="00F323A2">
            <w:pPr>
              <w:spacing w:after="160" w:line="259" w:lineRule="auto"/>
            </w:pPr>
            <w:r>
              <w:t>Performance measure</w:t>
            </w:r>
          </w:p>
        </w:tc>
        <w:tc>
          <w:tcPr>
            <w:tcW w:w="4568" w:type="dxa"/>
          </w:tcPr>
          <w:p w:rsidR="00763403" w:rsidRDefault="00F323A2">
            <w:pPr>
              <w:spacing w:after="160" w:line="259" w:lineRule="auto"/>
            </w:pPr>
            <w:r>
              <w:t>Formula for number simulations required(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sim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)</m:t>
              </m:r>
            </m:oMath>
          </w:p>
        </w:tc>
        <w:tc>
          <w:tcPr>
            <w:tcW w:w="2377" w:type="dxa"/>
          </w:tcPr>
          <w:p w:rsidR="00763403" w:rsidRDefault="00F323A2">
            <w:pPr>
              <w:spacing w:after="160" w:line="259" w:lineRule="auto"/>
            </w:pPr>
            <w:r>
              <w:t>Number of simulations(</w:t>
            </w:r>
            <m:oMath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sim</m:t>
                  </m:r>
                </m:sub>
              </m:sSub>
            </m:oMath>
            <w:r>
              <w:t>)</w:t>
            </w:r>
          </w:p>
        </w:tc>
      </w:tr>
      <w:tr w:rsidR="00763403">
        <w:tc>
          <w:tcPr>
            <w:tcW w:w="2234" w:type="dxa"/>
          </w:tcPr>
          <w:p w:rsidR="00763403" w:rsidRDefault="00F323A2">
            <w:pPr>
              <w:spacing w:after="160" w:line="259" w:lineRule="auto"/>
            </w:pPr>
            <w:r>
              <w:t>Bias</w:t>
            </w:r>
          </w:p>
        </w:tc>
        <w:tc>
          <w:tcPr>
            <w:tcW w:w="4568" w:type="dxa"/>
          </w:tcPr>
          <w:p w:rsidR="00763403" w:rsidRDefault="00F323A2" w:rsidP="00F323A2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sim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sim</m:t>
                            </m:r>
                          </m:sub>
                        </m:sSub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(</m:t>
                            </m:r>
                            <m:acc>
                              <m:acc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-</m:t>
                            </m:r>
                            <m:bar>
                              <m:bar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θ</m:t>
                                </m:r>
                              </m:e>
                            </m:bar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radPr>
                              <m:deg/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sim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n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sim</m:t>
                                                </m:r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-</m:t>
                                                </m:r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sub>
                                    </m:sSub>
                                  </m:den>
                                </m:f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1</m:t>
                                    </m:r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sim</m:t>
                                        </m:r>
                                      </m:sub>
                                    </m:sSub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(</m:t>
                                        </m:r>
                                        <m:acc>
                                          <m:accPr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</m:ctrlPr>
                                          </m:acc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θ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acc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-</m:t>
                                        </m:r>
                                        <m:bar>
                                          <m:barPr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</m:ctrlPr>
                                          </m:bar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  <m:t>θ</m:t>
                                            </m:r>
                                          </m:e>
                                        </m:bar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nary>
                              </m:e>
                            </m:ra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377" w:type="dxa"/>
          </w:tcPr>
          <w:p w:rsidR="00763403" w:rsidRDefault="00F323A2">
            <w:pPr>
              <w:spacing w:after="160" w:line="259" w:lineRule="auto"/>
            </w:pPr>
            <w:r>
              <w:t>8</w:t>
            </w:r>
            <w:r>
              <w:t>688</w:t>
            </w:r>
          </w:p>
        </w:tc>
      </w:tr>
      <w:tr w:rsidR="00763403">
        <w:tc>
          <w:tcPr>
            <w:tcW w:w="2234" w:type="dxa"/>
          </w:tcPr>
          <w:p w:rsidR="00763403" w:rsidRDefault="00F323A2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Mean square error (MSE)</w:t>
            </w:r>
          </w:p>
        </w:tc>
        <w:tc>
          <w:tcPr>
            <w:tcW w:w="4568" w:type="dxa"/>
          </w:tcPr>
          <w:p w:rsidR="00763403" w:rsidRDefault="00F323A2" w:rsidP="00F323A2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sim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-</m:t>
                            </m:r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sim</m:t>
                            </m:r>
                          </m:sub>
                        </m:sSub>
                      </m:sup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(</m:t>
                                    </m:r>
                                    <m:acc>
                                      <m:acc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  <m:t>θ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-θ)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-MSE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radPr>
                              <m:deg/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sim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n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sim</m:t>
                                                </m:r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-</m:t>
                                                </m:r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sub>
                                    </m:sSub>
                                  </m:den>
                                </m:f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1</m:t>
                                    </m:r>
                                  </m:sub>
                                  <m:sup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sim</m:t>
                                        </m:r>
                                      </m:sub>
                                    </m:sSub>
                                  </m:sup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</m:ctrlPr>
                                          </m:dPr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(</m:t>
                                                </m:r>
                                                <m:acc>
                                                  <m:accPr>
                                                    <m:ctrlPr>
                                                      <w:rPr>
                                                        <w:rFonts w:ascii="Cambria Math" w:eastAsia="Cambria Math" w:hAnsi="Cambria Math" w:cs="Cambria Math"/>
                                                      </w:rPr>
                                                    </m:ctrlPr>
                                                  </m:accPr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</w:rPr>
                                                          <m:t>θ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eastAsia="Cambria Math" w:hAnsi="Cambria Math" w:cs="Cambria Math"/>
                                                          </w:rPr>
                                                          <m:t>i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acc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-θ)</m:t>
                                                </m:r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eastAsia="Cambria Math" w:hAnsi="Cambria Math" w:cs="Cambria Math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</w:rPr>
                                              <m:t>-MSE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mbria Math" w:hAnsi="Cambria Math" w:cs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nary>
                              </m:e>
                            </m:ra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377" w:type="dxa"/>
          </w:tcPr>
          <w:p w:rsidR="00763403" w:rsidRDefault="00F323A2">
            <w:pPr>
              <w:spacing w:after="160" w:line="259" w:lineRule="auto"/>
            </w:pPr>
            <w:r>
              <w:t>2</w:t>
            </w:r>
            <w:r>
              <w:t>827</w:t>
            </w:r>
          </w:p>
        </w:tc>
      </w:tr>
      <w:tr w:rsidR="00763403">
        <w:tc>
          <w:tcPr>
            <w:tcW w:w="2234" w:type="dxa"/>
          </w:tcPr>
          <w:p w:rsidR="00763403" w:rsidRDefault="00F323A2">
            <w:pPr>
              <w:spacing w:after="160" w:line="259" w:lineRule="auto"/>
            </w:pPr>
            <w:r>
              <w:t>Empirical standard error(</w:t>
            </w:r>
            <w:proofErr w:type="spellStart"/>
            <w:r>
              <w:rPr>
                <w:color w:val="000000"/>
                <w:sz w:val="21"/>
                <w:szCs w:val="21"/>
                <w:highlight w:val="white"/>
              </w:rPr>
              <w:t>EmpSE</w:t>
            </w:r>
            <w:proofErr w:type="spellEnd"/>
            <w:r>
              <w:rPr>
                <w:color w:val="000000"/>
                <w:sz w:val="21"/>
                <w:szCs w:val="21"/>
                <w:highlight w:val="white"/>
              </w:rPr>
              <w:t>)</w:t>
            </w:r>
          </w:p>
        </w:tc>
        <w:tc>
          <w:tcPr>
            <w:tcW w:w="4568" w:type="dxa"/>
          </w:tcPr>
          <w:p w:rsidR="00763403" w:rsidRDefault="00F323A2">
            <w:pPr>
              <w:spacing w:after="160" w:line="259" w:lineRule="auto"/>
            </w:pPr>
            <w:r>
              <w:t>1+</w:t>
            </w:r>
            <m:oMath>
              <m:f>
                <m:fPr>
                  <m:ctrlPr>
                    <w:rPr>
                      <w:rFonts w:ascii="Cambria Math" w:eastAsia="Cambria Math" w:hAnsi="Cambria Math" w:cs="Cambria Math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eastAsia="Cambria Math" w:hAnsi="Cambria Math" w:cs="Cambria Math"/>
                              <w:color w:val="000000"/>
                              <w:highlight w:val="whit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highlight w:val="white"/>
                            </w:rPr>
                            <m:t>EmpSE</m:t>
                          </m:r>
                        </m:e>
                        <m:sup>
                          <m:r>
                            <w:rPr>
                              <w:rFonts w:ascii="Cambria Math" w:eastAsia="Cambria Math" w:hAnsi="Cambria Math" w:cs="Cambria Math"/>
                              <w:color w:val="000000"/>
                              <w:highlight w:val="white"/>
                            </w:rPr>
                            <m:t>2</m:t>
                          </m:r>
                        </m:sup>
                      </m:sSup>
                    </m:e>
                  </m:acc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pPr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mbria Math" w:hAnsi="Cambria Math" w:cs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MCSE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</w:rPr>
                              </m:ctrlPr>
                            </m:d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="Cambria Math" w:hAnsi="Cambria Math" w:cs="Cambria Math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EmpSE</m:t>
                                  </m:r>
                                </m:e>
                              </m:acc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w="2377" w:type="dxa"/>
          </w:tcPr>
          <w:p w:rsidR="00763403" w:rsidRDefault="00F323A2">
            <w:pPr>
              <w:spacing w:after="160" w:line="259" w:lineRule="auto"/>
            </w:pPr>
            <w:r>
              <w:t>4345</w:t>
            </w:r>
          </w:p>
        </w:tc>
      </w:tr>
      <w:tr w:rsidR="00763403">
        <w:tc>
          <w:tcPr>
            <w:tcW w:w="2234" w:type="dxa"/>
          </w:tcPr>
          <w:p w:rsidR="00763403" w:rsidRDefault="00F323A2">
            <w:pPr>
              <w:spacing w:after="160" w:line="259" w:lineRule="auto"/>
            </w:pPr>
            <w:r>
              <w:t>Model-based standard error (</w:t>
            </w:r>
            <w:proofErr w:type="spellStart"/>
            <w:r>
              <w:rPr>
                <w:color w:val="000000"/>
                <w:sz w:val="21"/>
                <w:szCs w:val="21"/>
                <w:highlight w:val="white"/>
              </w:rPr>
              <w:t>ModSE</w:t>
            </w:r>
            <w:proofErr w:type="spellEnd"/>
            <w:r>
              <w:rPr>
                <w:color w:val="000000"/>
                <w:sz w:val="21"/>
                <w:szCs w:val="21"/>
                <w:highlight w:val="white"/>
              </w:rPr>
              <w:t>)</w:t>
            </w:r>
          </w:p>
        </w:tc>
        <w:tc>
          <w:tcPr>
            <w:tcW w:w="4568" w:type="dxa"/>
          </w:tcPr>
          <w:p w:rsidR="00763403" w:rsidRDefault="00F323A2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Var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Var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mbria Math" w:hAnsi="Cambria Math" w:cs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</w:rPr>
                                      <m:t>θ</m:t>
                                    </m:r>
                                  </m:e>
                                </m:acc>
                              </m:e>
                            </m:d>
                          </m:e>
                        </m:acc>
                      </m:e>
                    </m:d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4</m:t>
                    </m:r>
                    <m:acc>
                      <m:acc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accPr>
                      <m:e>
                        <m:sSup>
                          <m:sSupPr>
                            <m:ctrlP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1"/>
                                <w:szCs w:val="21"/>
                                <w:highlight w:val="whit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1"/>
                                <w:szCs w:val="21"/>
                                <w:highlight w:val="white"/>
                              </w:rPr>
                              <m:t>ModSE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1"/>
                                <w:szCs w:val="21"/>
                                <w:highlight w:val="white"/>
                              </w:rPr>
                              <m:t>2</m:t>
                            </m:r>
                          </m:sup>
                        </m:sSup>
                      </m:e>
                    </m:acc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MCSE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eastAsia="Cambria Math" w:hAnsi="Cambria Math" w:cs="Cambria Math"/>
                                        <w:color w:val="000000"/>
                                        <w:sz w:val="21"/>
                                        <w:szCs w:val="21"/>
                                        <w:highlight w:val="white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ambria Math" w:hAnsi="Cambria Math" w:cs="Cambria Math"/>
                                        <w:color w:val="000000"/>
                                        <w:sz w:val="21"/>
                                        <w:szCs w:val="21"/>
                                        <w:highlight w:val="white"/>
                                      </w:rPr>
                                      <m:t>ModSE</m:t>
                                    </m:r>
                                  </m:e>
                                </m:acc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377" w:type="dxa"/>
          </w:tcPr>
          <w:p w:rsidR="00763403" w:rsidRDefault="00F323A2">
            <w:pPr>
              <w:spacing w:after="160" w:line="259" w:lineRule="auto"/>
            </w:pPr>
            <w:r>
              <w:t>822</w:t>
            </w:r>
          </w:p>
        </w:tc>
      </w:tr>
      <w:tr w:rsidR="00763403">
        <w:tc>
          <w:tcPr>
            <w:tcW w:w="2234" w:type="dxa"/>
          </w:tcPr>
          <w:p w:rsidR="00763403" w:rsidRDefault="00F323A2">
            <w:pPr>
              <w:spacing w:after="160" w:line="259" w:lineRule="auto"/>
            </w:pPr>
            <w:r>
              <w:t>95% Coverage</w:t>
            </w:r>
          </w:p>
        </w:tc>
        <w:tc>
          <w:tcPr>
            <w:tcW w:w="4568" w:type="dxa"/>
          </w:tcPr>
          <w:p w:rsidR="00763403" w:rsidRDefault="00F323A2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Coverage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1-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Coverage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MCSE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Coverage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377" w:type="dxa"/>
          </w:tcPr>
          <w:p w:rsidR="00763403" w:rsidRDefault="00F323A2">
            <w:pPr>
              <w:spacing w:after="160" w:line="259" w:lineRule="auto"/>
            </w:pPr>
            <w:r>
              <w:t>1900</w:t>
            </w:r>
          </w:p>
        </w:tc>
      </w:tr>
      <w:tr w:rsidR="00763403">
        <w:tc>
          <w:tcPr>
            <w:tcW w:w="2234" w:type="dxa"/>
          </w:tcPr>
          <w:p w:rsidR="00763403" w:rsidRDefault="00F323A2">
            <w:pPr>
              <w:spacing w:after="160" w:line="259" w:lineRule="auto"/>
            </w:pPr>
            <w:r>
              <w:t>80% Power</w:t>
            </w:r>
          </w:p>
        </w:tc>
        <w:tc>
          <w:tcPr>
            <w:tcW w:w="4568" w:type="dxa"/>
          </w:tcPr>
          <w:p w:rsidR="00763403" w:rsidRDefault="00F323A2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f>
                  <m:fPr>
                    <m:ctrlPr>
                      <w:rPr>
                        <w:rFonts w:ascii="Cambria Math" w:eastAsia="Cambria Math" w:hAnsi="Cambria Math" w:cs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Power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1-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Power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MCSE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Cambria Math" w:hAnsi="Cambria Math" w:cs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Power</m:t>
                                </m:r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377" w:type="dxa"/>
          </w:tcPr>
          <w:p w:rsidR="00763403" w:rsidRDefault="00F323A2">
            <w:pPr>
              <w:spacing w:after="160" w:line="259" w:lineRule="auto"/>
            </w:pPr>
            <w:r>
              <w:t>6400</w:t>
            </w:r>
          </w:p>
        </w:tc>
      </w:tr>
    </w:tbl>
    <w:p w:rsidR="00763403" w:rsidRDefault="00F323A2">
      <w:pPr>
        <w:spacing w:after="160" w:line="259" w:lineRule="auto"/>
      </w:pPr>
      <w:r>
        <w:t xml:space="preserve">Here, MCSE denotes the desired Monte Carlo standard error and </w:t>
      </w:r>
      <m:oMath>
        <m:r>
          <w:rPr>
            <w:rFonts w:ascii="Cambria Math" w:hAnsi="Cambria Math"/>
          </w:rPr>
          <m:t>ρ</m:t>
        </m:r>
      </m:oMath>
      <w:r>
        <w:t xml:space="preserve"> denotes lag-1 auto-correlatio</w:t>
      </w:r>
      <w:r>
        <w:t>n. Consequently, the largest required number of simulations (8,688) was selected.</w:t>
      </w: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F323A2">
      <w:pPr>
        <w:spacing w:after="160" w:line="259" w:lineRule="auto"/>
      </w:pPr>
      <w:r>
        <w:t>Table S2: Summary of key studies informing parameters of this study</w:t>
      </w:r>
    </w:p>
    <w:tbl>
      <w:tblPr>
        <w:tblStyle w:val="a0"/>
        <w:tblW w:w="9021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3578"/>
        <w:gridCol w:w="820"/>
        <w:gridCol w:w="4623"/>
      </w:tblGrid>
      <w:tr w:rsidR="00763403">
        <w:trPr>
          <w:trHeight w:val="310"/>
        </w:trPr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Author</w:t>
            </w:r>
          </w:p>
        </w:tc>
        <w:tc>
          <w:tcPr>
            <w:tcW w:w="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Year</w:t>
            </w:r>
          </w:p>
        </w:tc>
        <w:tc>
          <w:tcPr>
            <w:tcW w:w="4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Link</w:t>
            </w:r>
          </w:p>
        </w:tc>
      </w:tr>
      <w:tr w:rsidR="00763403">
        <w:trPr>
          <w:trHeight w:val="54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Hammitt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et al.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2019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563C1"/>
                <w:sz w:val="22"/>
                <w:szCs w:val="22"/>
                <w:u w:val="single"/>
              </w:rPr>
            </w:pPr>
            <w:hyperlink r:id="rId5"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>https://doi.org/10.1016/S0140-6736(18)33005-8</w:t>
              </w:r>
            </w:hyperlink>
          </w:p>
        </w:tc>
      </w:tr>
      <w:tr w:rsidR="00763403">
        <w:trPr>
          <w:trHeight w:val="83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Silaba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et al.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2019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https://doi.org/10.1016/S2214-109X(18)30491-1</w:t>
            </w:r>
          </w:p>
        </w:tc>
      </w:tr>
      <w:tr w:rsidR="00763403">
        <w:trPr>
          <w:trHeight w:val="80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Bottomley,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Isham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br/>
              <w:t>&amp; Scott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2019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https://doi.org/10.1515/em-2018-0010</w:t>
            </w:r>
          </w:p>
        </w:tc>
      </w:tr>
      <w:tr w:rsidR="00763403">
        <w:trPr>
          <w:trHeight w:val="70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Lopez Bernal et 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2017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https://pubmed.ncbi.nlm.nih.gov/27283160/</w:t>
            </w:r>
          </w:p>
        </w:tc>
      </w:tr>
      <w:tr w:rsidR="00763403">
        <w:trPr>
          <w:trHeight w:val="73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Haeusler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et al.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2025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563C1"/>
                <w:sz w:val="22"/>
                <w:szCs w:val="22"/>
                <w:u w:val="single"/>
              </w:rPr>
            </w:pPr>
            <w:hyperlink r:id="rId6"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>https://doi.org/10.1371/journal.pgph.0004888</w:t>
              </w:r>
            </w:hyperlink>
          </w:p>
        </w:tc>
      </w:tr>
      <w:tr w:rsidR="00763403">
        <w:trPr>
          <w:trHeight w:val="56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Ong’ayo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et al.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2019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563C1"/>
                <w:sz w:val="22"/>
                <w:szCs w:val="22"/>
                <w:u w:val="single"/>
              </w:rPr>
            </w:pPr>
            <w:hyperlink r:id="rId7"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>https://doi.org/10.1016/S2214-109X(19)30188-3</w:t>
              </w:r>
            </w:hyperlink>
          </w:p>
        </w:tc>
      </w:tr>
      <w:tr w:rsidR="00763403">
        <w:trPr>
          <w:trHeight w:val="73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Turner et al.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2021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563C1"/>
                <w:sz w:val="22"/>
                <w:szCs w:val="22"/>
                <w:u w:val="single"/>
              </w:rPr>
            </w:pPr>
            <w:hyperlink r:id="rId8">
              <w:r>
                <w:rPr>
                  <w:rFonts w:ascii="Calibri" w:eastAsia="Calibri" w:hAnsi="Calibri" w:cs="Calibri"/>
                  <w:color w:val="0563C1"/>
                  <w:sz w:val="22"/>
                  <w:szCs w:val="22"/>
                  <w:u w:val="single"/>
                </w:rPr>
                <w:t>https://pubmed.ncbi.nlm.nih.gov/34454418/</w:t>
              </w:r>
            </w:hyperlink>
          </w:p>
        </w:tc>
      </w:tr>
      <w:tr w:rsidR="00763403">
        <w:trPr>
          <w:trHeight w:val="60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Talbert et al.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2023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https://pubmed.ncbi.nlm.nih.gov/36631234/</w:t>
            </w:r>
          </w:p>
        </w:tc>
      </w:tr>
      <w:tr w:rsidR="00763403">
        <w:trPr>
          <w:trHeight w:val="310"/>
        </w:trPr>
        <w:tc>
          <w:tcPr>
            <w:tcW w:w="35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TP Morris, IR White &amp; MJ Crowther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763403" w:rsidRDefault="00F323A2">
            <w:pPr>
              <w:spacing w:line="240" w:lineRule="auto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2019</w:t>
            </w:r>
          </w:p>
        </w:tc>
        <w:tc>
          <w:tcPr>
            <w:tcW w:w="4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63403" w:rsidRDefault="00F323A2">
            <w:pPr>
              <w:spacing w:line="240" w:lineRule="auto"/>
              <w:rPr>
                <w:rFonts w:ascii="Calibri" w:eastAsia="Calibri" w:hAnsi="Calibri" w:cs="Calibri"/>
                <w:color w:val="0563C1"/>
                <w:sz w:val="22"/>
                <w:szCs w:val="22"/>
                <w:u w:val="single"/>
              </w:rPr>
            </w:pPr>
            <w:r>
              <w:rPr>
                <w:rFonts w:ascii="Calibri" w:eastAsia="Calibri" w:hAnsi="Calibri" w:cs="Calibri"/>
                <w:color w:val="0563C1"/>
                <w:sz w:val="22"/>
                <w:szCs w:val="22"/>
                <w:u w:val="single"/>
              </w:rPr>
              <w:t xml:space="preserve"> https://doi.org/10.1002/sim.8086</w:t>
            </w:r>
          </w:p>
        </w:tc>
      </w:tr>
    </w:tbl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763403">
      <w:pPr>
        <w:spacing w:after="160" w:line="259" w:lineRule="auto"/>
      </w:pPr>
    </w:p>
    <w:p w:rsidR="00763403" w:rsidRDefault="00F323A2">
      <w:pPr>
        <w:spacing w:after="160" w:line="259" w:lineRule="auto"/>
      </w:pPr>
      <w:r>
        <w:t>Table S3: Definitions of performance measures.</w:t>
      </w:r>
    </w:p>
    <w:tbl>
      <w:tblPr>
        <w:tblStyle w:val="a1"/>
        <w:tblW w:w="89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3"/>
        <w:gridCol w:w="3005"/>
        <w:gridCol w:w="3628"/>
      </w:tblGrid>
      <w:tr w:rsidR="00763403" w:rsidTr="007634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  <w:tcBorders>
              <w:bottom w:val="nil"/>
            </w:tcBorders>
          </w:tcPr>
          <w:p w:rsidR="00763403" w:rsidRDefault="00F323A2">
            <w:pPr>
              <w:keepNext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Performance measure</w:t>
            </w:r>
          </w:p>
        </w:tc>
        <w:tc>
          <w:tcPr>
            <w:tcW w:w="3005" w:type="dxa"/>
            <w:tcBorders>
              <w:bottom w:val="nil"/>
            </w:tcBorders>
          </w:tcPr>
          <w:p w:rsidR="00763403" w:rsidRDefault="00F323A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Definition</w:t>
            </w:r>
          </w:p>
        </w:tc>
        <w:tc>
          <w:tcPr>
            <w:tcW w:w="3628" w:type="dxa"/>
            <w:tcBorders>
              <w:bottom w:val="nil"/>
            </w:tcBorders>
          </w:tcPr>
          <w:p w:rsidR="00763403" w:rsidRDefault="00F323A2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Estimate</w:t>
            </w:r>
          </w:p>
        </w:tc>
      </w:tr>
      <w:tr w:rsidR="00763403" w:rsidTr="0076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63403" w:rsidRDefault="00F323A2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Bias</w:t>
            </w:r>
          </w:p>
        </w:tc>
        <w:tc>
          <w:tcPr>
            <w:tcW w:w="3005" w:type="dxa"/>
          </w:tcPr>
          <w:p w:rsidR="00763403" w:rsidRDefault="00F323A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60375" cy="175260"/>
                  <wp:effectExtent l="0" t="0" r="0" b="0"/>
                  <wp:docPr id="15" name="image9.jpg" descr="C:\Users\THINKPAD\AppData\Local\Temp\ksohtml3608\wps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 descr="C:\Users\THINKPAD\AppData\Local\Temp\ksohtml3608\wps14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5" cy="175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:rsidR="00763403" w:rsidRDefault="00F323A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765175" cy="427990"/>
                  <wp:effectExtent l="0" t="0" r="0" b="0"/>
                  <wp:docPr id="17" name="image10.jpg" descr="C:\Users\THINKPAD\AppData\Local\Temp\ksohtml3608\wps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C:\Users\THINKPAD\AppData\Local\Temp\ksohtml3608\wps1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427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403" w:rsidTr="00763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63403" w:rsidRDefault="00F323A2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Empirical standard error</w:t>
            </w:r>
          </w:p>
        </w:tc>
        <w:tc>
          <w:tcPr>
            <w:tcW w:w="3005" w:type="dxa"/>
          </w:tcPr>
          <w:p w:rsidR="00763403" w:rsidRDefault="00F323A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486410" cy="304800"/>
                  <wp:effectExtent l="0" t="0" r="0" b="0"/>
                  <wp:docPr id="16" name="image8.jpg" descr="C:\Users\THINKPAD\AppData\Local\Temp\ksohtml3608\wps1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 descr="C:\Users\THINKPAD\AppData\Local\Temp\ksohtml3608\wps16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304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:rsidR="00763403" w:rsidRDefault="00F323A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245235" cy="589915"/>
                  <wp:effectExtent l="0" t="0" r="0" b="0"/>
                  <wp:docPr id="19" name="image12.jpg" descr="C:\Users\THINKPAD\AppData\Local\Temp\ksohtml3608\wps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jpg" descr="C:\Users\THINKPAD\AppData\Local\Temp\ksohtml3608\wps17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35" cy="5899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403" w:rsidTr="0076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63403" w:rsidRDefault="00F323A2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Mean square error</w:t>
            </w:r>
          </w:p>
        </w:tc>
        <w:tc>
          <w:tcPr>
            <w:tcW w:w="3005" w:type="dxa"/>
          </w:tcPr>
          <w:p w:rsidR="00763403" w:rsidRDefault="00F323A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687705" cy="226695"/>
                  <wp:effectExtent l="0" t="0" r="0" b="0"/>
                  <wp:docPr id="18" name="image1.jpg" descr="C:\Users\THINKPAD\AppData\Local\Temp\ksohtml3608\wps1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C:\Users\THINKPAD\AppData\Local\Temp\ksohtml3608\wps18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" cy="2266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:rsidR="00763403" w:rsidRDefault="00F323A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934085" cy="427990"/>
                  <wp:effectExtent l="0" t="0" r="0" b="0"/>
                  <wp:docPr id="22" name="image6.jpg" descr="C:\Users\THINKPAD\AppData\Local\Temp\ksohtml3608\wps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C:\Users\THINKPAD\AppData\Local\Temp\ksohtml3608\wps19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085" cy="427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403" w:rsidTr="00763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63403" w:rsidRDefault="00F323A2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</w:t>
            </w:r>
          </w:p>
        </w:tc>
        <w:tc>
          <w:tcPr>
            <w:tcW w:w="3005" w:type="dxa"/>
          </w:tcPr>
          <w:p w:rsidR="00763403" w:rsidRDefault="00F323A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096010" cy="175260"/>
                  <wp:effectExtent l="0" t="0" r="0" b="0"/>
                  <wp:docPr id="21" name="image5.jpg" descr="C:\Users\THINKPAD\AppData\Local\Temp\ksohtml3608\wps2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C:\Users\THINKPAD\AppData\Local\Temp\ksohtml3608\wps20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10" cy="1752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:rsidR="00763403" w:rsidRDefault="00F323A2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562735" cy="427990"/>
                  <wp:effectExtent l="0" t="0" r="0" b="0"/>
                  <wp:docPr id="24" name="image7.jpg" descr="C:\Users\THINKPAD\AppData\Local\Temp\ksohtml3608\wps2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C:\Users\THINKPAD\AppData\Local\Temp\ksohtml3608\wps21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35" cy="427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403" w:rsidTr="007634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63403" w:rsidRDefault="00F323A2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Power</w:t>
            </w:r>
          </w:p>
        </w:tc>
        <w:tc>
          <w:tcPr>
            <w:tcW w:w="3005" w:type="dxa"/>
          </w:tcPr>
          <w:p w:rsidR="00763403" w:rsidRDefault="00F323A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583565" cy="142875"/>
                  <wp:effectExtent l="0" t="0" r="0" b="0"/>
                  <wp:docPr id="23" name="image3.jpg" descr="C:\Users\THINKPAD\AppData\Local\Temp\ksohtml3608\wps2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C:\Users\THINKPAD\AppData\Local\Temp\ksohtml3608\wps22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565" cy="142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:rsidR="00763403" w:rsidRDefault="00F323A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953135" cy="427990"/>
                  <wp:effectExtent l="0" t="0" r="0" b="0"/>
                  <wp:docPr id="26" name="image4.jpg" descr="C:\Users\THINKPAD\AppData\Local\Temp\ksohtml3608\wps2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C:\Users\THINKPAD\AppData\Local\Temp\ksohtml3608\wps23.jp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135" cy="4279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403" w:rsidTr="007634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3" w:type="dxa"/>
          </w:tcPr>
          <w:p w:rsidR="00763403" w:rsidRDefault="00F323A2">
            <w:pPr>
              <w:keepNext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model-based standard error</w:t>
            </w:r>
          </w:p>
        </w:tc>
        <w:tc>
          <w:tcPr>
            <w:tcW w:w="3005" w:type="dxa"/>
          </w:tcPr>
          <w:p w:rsidR="00763403" w:rsidRDefault="00F32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⌊</m:t>
                    </m:r>
                    <m:acc>
                      <m:accPr>
                        <m:ctrlP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</m:ctrlPr>
                      </m:acc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Var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θ</m:t>
                            </m:r>
                          </m:e>
                        </m:acc>
                      </m:e>
                    </m:d>
                    <m:r>
                      <w:rPr>
                        <w:rFonts w:ascii="Cambria Math" w:hAnsi="Cambria Math"/>
                      </w:rPr>
                      <m:t>⌋</m:t>
                    </m:r>
                  </m:e>
                </m:rad>
              </m:oMath>
            </m:oMathPara>
          </w:p>
        </w:tc>
        <w:tc>
          <w:tcPr>
            <w:tcW w:w="3628" w:type="dxa"/>
          </w:tcPr>
          <w:p w:rsidR="00763403" w:rsidRDefault="00F323A2" w:rsidP="00F32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Cambria Math" w:hAnsi="Cambria Math" w:cs="Cambria Math"/>
                <w:sz w:val="20"/>
                <w:szCs w:val="20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Cambria Math" w:hAnsi="Cambria Math" w:cs="Cambria Math"/>
                        <w:sz w:val="20"/>
                        <w:szCs w:val="2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sim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ctrlP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</m:ctrlPr>
                      </m:naryPr>
                      <m: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sim</m:t>
                            </m:r>
                          </m:sub>
                        </m:sSub>
                      </m:sup>
                      <m:e>
                        <m:acc>
                          <m:accP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Var</m:t>
                            </m:r>
                          </m:e>
                        </m:acc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eastAsia="Cambria Math" w:hAnsi="Cambria Math" w:cs="Cambria Math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0"/>
                                    <w:szCs w:val="20"/>
                                  </w:rP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)</m:t>
                        </m:r>
                      </m:e>
                    </m:nary>
                  </m:e>
                </m:rad>
              </m:oMath>
            </m:oMathPara>
          </w:p>
        </w:tc>
      </w:tr>
    </w:tbl>
    <w:p w:rsidR="00763403" w:rsidRDefault="00763403">
      <w:pPr>
        <w:spacing w:after="160" w:line="259" w:lineRule="auto"/>
      </w:pPr>
      <w:bookmarkStart w:id="0" w:name="_GoBack"/>
      <w:bookmarkEnd w:id="0"/>
    </w:p>
    <w:p w:rsidR="00763403" w:rsidRDefault="00F323A2">
      <w:r>
        <w:t xml:space="preserve">Where </w:t>
      </w:r>
      <m:oMath>
        <m:r>
          <w:rPr>
            <w:rFonts w:ascii="Cambria Math" w:hAnsi="Cambria Math"/>
          </w:rPr>
          <m:t>θ</m:t>
        </m:r>
      </m:oMath>
      <w:r>
        <w:t xml:space="preserve"> represents the parameter under investigation,</w:t>
      </w:r>
      <w:r>
        <w:rPr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eastAsia="Cambria Math" w:hAnsi="Cambria Math" w:cs="Cambria Math"/>
            <w:sz w:val="20"/>
            <w:szCs w:val="20"/>
          </w:rPr>
          <m:t xml:space="preserve"> </m:t>
        </m:r>
      </m:oMath>
      <w:r>
        <w:t>being the estimate of that parameter,</w:t>
      </w:r>
      <w:r>
        <w:rPr>
          <w:sz w:val="20"/>
          <w:szCs w:val="20"/>
        </w:rPr>
        <w:t xml:space="preserve"> </w:t>
      </w:r>
      <m:oMath>
        <m:bar>
          <m:barPr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θ</m:t>
            </m:r>
          </m:e>
        </m:bar>
      </m:oMath>
      <w:r>
        <w:rPr>
          <w:sz w:val="20"/>
          <w:szCs w:val="20"/>
        </w:rPr>
        <w:t xml:space="preserve"> </w:t>
      </w:r>
      <w:r>
        <w:t>being the mean value of the estimate,</w:t>
      </w:r>
      <w:r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 w:cs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0"/>
                <w:szCs w:val="20"/>
              </w:rPr>
              <m:t>sim</m:t>
            </m:r>
          </m:sub>
        </m:sSub>
      </m:oMath>
      <w:r>
        <w:rPr>
          <w:sz w:val="20"/>
          <w:szCs w:val="20"/>
        </w:rPr>
        <w:t xml:space="preserve"> </w:t>
      </w:r>
      <w:r>
        <w:t>being the number of simulations (in this study, 86,88),</w:t>
      </w:r>
      <w:r>
        <w:rPr>
          <w:sz w:val="20"/>
          <w:szCs w:val="20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97155" cy="142875"/>
            <wp:effectExtent l="0" t="0" r="0" b="0"/>
            <wp:docPr id="25" name="image2.jpg" descr="C:\Users\THINKPAD\AppData\Local\Temp\ksohtml32616\wps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THINKPAD\AppData\Local\Temp\ksohtml32616\wps5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14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t>being the p-value of estimate</w:t>
      </w:r>
      <w:r>
        <w:rPr>
          <w:sz w:val="20"/>
          <w:szCs w:val="20"/>
        </w:rPr>
        <w:t xml:space="preserve"> </w:t>
      </w:r>
      <m:oMath>
        <m:r>
          <w:rPr>
            <w:rFonts w:ascii="Cambria Math" w:eastAsia="Cambria Math" w:hAnsi="Cambria Math" w:cs="Cambria Math"/>
            <w:sz w:val="20"/>
            <w:szCs w:val="20"/>
          </w:rPr>
          <m:t>i</m:t>
        </m:r>
      </m:oMath>
      <w:r>
        <w:rPr>
          <w:sz w:val="20"/>
          <w:szCs w:val="20"/>
        </w:rPr>
        <w:t xml:space="preserve"> </w:t>
      </w:r>
      <w:r>
        <w:t>and</w:t>
      </w:r>
      <w:r>
        <w:rPr>
          <w:sz w:val="20"/>
          <w:szCs w:val="20"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rPr>
          <w:sz w:val="20"/>
          <w:szCs w:val="20"/>
        </w:rPr>
        <w:t xml:space="preserve"> </w:t>
      </w:r>
      <w:r>
        <w:t>being the significance level (5%).</w:t>
      </w:r>
    </w:p>
    <w:p w:rsidR="00763403" w:rsidRDefault="00763403"/>
    <w:p w:rsidR="00763403" w:rsidRDefault="00763403"/>
    <w:p w:rsidR="00763403" w:rsidRDefault="00763403"/>
    <w:p w:rsidR="00763403" w:rsidRDefault="00763403"/>
    <w:p w:rsidR="00763403" w:rsidRDefault="00763403"/>
    <w:p w:rsidR="00763403" w:rsidRDefault="00F323A2">
      <w:r>
        <w:rPr>
          <w:noProof/>
          <w:lang w:val="en-US"/>
        </w:rPr>
        <w:drawing>
          <wp:inline distT="114300" distB="114300" distL="114300" distR="114300">
            <wp:extent cx="5731200" cy="3225800"/>
            <wp:effectExtent l="0" t="0" r="0" b="0"/>
            <wp:docPr id="2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403" w:rsidRDefault="00F323A2">
      <w:r>
        <w:rPr>
          <w:noProof/>
          <w:lang w:val="en-US"/>
        </w:rPr>
        <w:drawing>
          <wp:inline distT="114300" distB="114300" distL="114300" distR="114300">
            <wp:extent cx="5731200" cy="3225800"/>
            <wp:effectExtent l="0" t="0" r="0" b="0"/>
            <wp:docPr id="2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403" w:rsidRDefault="00F323A2">
      <w:r>
        <w:rPr>
          <w:noProof/>
          <w:lang w:val="en-US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403" w:rsidRDefault="00F323A2">
      <w:bookmarkStart w:id="1" w:name="_heading=h.kr9g1i1u2gye" w:colFirst="0" w:colLast="0"/>
      <w:bookmarkEnd w:id="1"/>
      <w:r>
        <w:rPr>
          <w:b/>
          <w:bCs/>
        </w:rPr>
        <w:t>Supplementary Figure 1.</w:t>
      </w:r>
      <w:r>
        <w:t xml:space="preserve"> Results from the multivariable negative b</w:t>
      </w:r>
      <w:r>
        <w:t>inomial regression (A), controlled interrupted time series model (B), and controlled interrupted time series model with control-series autocorrelation fixed at 0.4 (C).</w:t>
      </w:r>
    </w:p>
    <w:p w:rsidR="00763403" w:rsidRDefault="00763403">
      <w:bookmarkStart w:id="2" w:name="_heading=h.5f45pu8uitdl" w:colFirst="0" w:colLast="0"/>
      <w:bookmarkEnd w:id="2"/>
    </w:p>
    <w:p w:rsidR="00763403" w:rsidRDefault="00763403">
      <w:bookmarkStart w:id="3" w:name="_heading=h.duj50pv9d0d8" w:colFirst="0" w:colLast="0"/>
      <w:bookmarkEnd w:id="3"/>
    </w:p>
    <w:p w:rsidR="00763403" w:rsidRDefault="00F323A2">
      <w:bookmarkStart w:id="4" w:name="_heading=h.2pdqlwrjwovh" w:colFirst="0" w:colLast="0"/>
      <w:bookmarkEnd w:id="4"/>
      <w:r>
        <w:rPr>
          <w:noProof/>
          <w:lang w:val="en-US"/>
        </w:rPr>
        <w:drawing>
          <wp:inline distT="114300" distB="114300" distL="114300" distR="114300">
            <wp:extent cx="5919788" cy="3371850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9788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3403" w:rsidRDefault="00F323A2">
      <w:bookmarkStart w:id="5" w:name="_heading=h.qxagrgx6bplj" w:colFirst="0" w:colLast="0"/>
      <w:bookmarkEnd w:id="5"/>
      <w:r>
        <w:rPr>
          <w:b/>
          <w:bCs/>
        </w:rPr>
        <w:lastRenderedPageBreak/>
        <w:t>Supplementary Figure 2.</w:t>
      </w:r>
      <w:r>
        <w:t xml:space="preserve"> Empirical standard errors from the multivariable negative b</w:t>
      </w:r>
      <w:r>
        <w:t>inomial regression (multivariable NB) and the controlled interrupted time series (CITS) model in which the control series shares the exact lag-1 autocorrelation magnitude (ρ) with the outcome series (</w:t>
      </w:r>
      <w:proofErr w:type="spellStart"/>
      <w:r>
        <w:t>Yt</w:t>
      </w:r>
      <w:proofErr w:type="spellEnd"/>
      <w:r>
        <w:t>), as well as CITS with fixed autocorrelation (ρ = 0.4</w:t>
      </w:r>
      <w:r>
        <w:t>).</w:t>
      </w:r>
    </w:p>
    <w:sectPr w:rsidR="00763403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031AE4-05F7-4295-9DA9-CDF92483CA43}"/>
    <w:embedBold r:id="rId2" w:fontKey="{DFBD220B-9859-467F-890F-B4C362815D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50B24D-4AED-4782-94A0-7E41EA76E3F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74C034B-8895-4613-8621-1E687BEF6369}"/>
    <w:embedBold r:id="rId5" w:fontKey="{CF449EBD-47A4-467A-A2E4-63FD45D52D3D}"/>
    <w:embedItalic r:id="rId6" w:fontKey="{7DF9189F-4121-4705-9152-386A551DFFE7}"/>
    <w:embedBoldItalic r:id="rId7" w:fontKey="{D043E171-9A90-4D20-ADD3-2E69D518E7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7D2135B-D9E6-44AD-81AB-2FB53928F1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403"/>
    <w:rsid w:val="00763403"/>
    <w:rsid w:val="00F3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F22D"/>
  <w15:docId w15:val="{D8DD2608-FEA6-4B2B-80D2-87BC7B5E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563C1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Pr>
      <w:rFonts w:eastAsia="Times New Roman"/>
    </w:rPr>
    <w:tblPr>
      <w:tblBorders>
        <w:top w:val="single" w:sz="4" w:space="0" w:color="7E7E7E"/>
        <w:bottom w:val="single" w:sz="4" w:space="0" w:color="7E7E7E"/>
      </w:tblBorders>
    </w:tblPr>
    <w:tblStylePr w:type="firstRow">
      <w:rPr>
        <w:rFonts w:ascii="Times New Roman" w:hAnsi="Times New Roman" w:cs="Times New Roman" w:hint="default"/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rFonts w:ascii="Times New Roman" w:hAnsi="Times New Roman" w:cs="Times New Roman" w:hint="default"/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rFonts w:ascii="Times New Roman" w:hAnsi="Times New Roman" w:cs="Times New Roman" w:hint="default"/>
        <w:b/>
        <w:bCs/>
      </w:rPr>
    </w:tblStylePr>
    <w:tblStylePr w:type="lastCol">
      <w:rPr>
        <w:rFonts w:ascii="Times New Roman" w:hAnsi="Times New Roman" w:cs="Times New Roman" w:hint="default"/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Calibri" w:hAnsi="Arial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Calibri" w:hAnsi="Arial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7CCA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  <w:tblStylePr w:type="firstRow">
      <w:rPr>
        <w:rFonts w:ascii="Times New Roman" w:eastAsia="Times New Roman" w:hAnsi="Times New Roman" w:cs="Times New Roman"/>
        <w:b/>
        <w:bCs/>
      </w:rPr>
      <w:tblPr/>
      <w:tcPr>
        <w:tcBorders>
          <w:bottom w:val="single" w:sz="4" w:space="0" w:color="7E7E7E"/>
        </w:tcBorders>
      </w:tcPr>
    </w:tblStylePr>
    <w:tblStylePr w:type="lastRow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4" w:space="0" w:color="7E7E7E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</w:tblStylePr>
    <w:tblStylePr w:type="band1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2Vert">
      <w:tblPr/>
      <w:tcPr>
        <w:tcBorders>
          <w:left w:val="single" w:sz="4" w:space="0" w:color="7E7E7E"/>
          <w:right w:val="single" w:sz="4" w:space="0" w:color="7E7E7E"/>
        </w:tcBorders>
      </w:tcPr>
    </w:tblStylePr>
    <w:tblStylePr w:type="band1Horz">
      <w:tblPr/>
      <w:tcPr>
        <w:tcBorders>
          <w:top w:val="single" w:sz="4" w:space="0" w:color="7E7E7E"/>
          <w:bottom w:val="single" w:sz="4" w:space="0" w:color="7E7E7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med.ncbi.nlm.nih.gov/34454418/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doi.org/10.1016/S2214-109X(19)30188-3" TargetMode="Externa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371/journal.pgph.0004888" TargetMode="External"/><Relationship Id="rId11" Type="http://schemas.openxmlformats.org/officeDocument/2006/relationships/image" Target="media/image3.jpg"/><Relationship Id="rId24" Type="http://schemas.openxmlformats.org/officeDocument/2006/relationships/fontTable" Target="fontTable.xml"/><Relationship Id="rId5" Type="http://schemas.openxmlformats.org/officeDocument/2006/relationships/hyperlink" Target="https://doi.org/10.1016/S0140-6736(18)33005-8" TargetMode="Externa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ZaNNB+Rlyqel6p150DtmFp/eQ==">CgMxLjAyDmgua3I5ZzFpMXUyZ3llMg5oLjVmNDVwdTh1aXRkbDIOaC5kdWo1MHB2OWQwZDgyDmguMnBkcWx3cmp3b3ZoMg5oLnF4YWdyZ3g2YnBsajgAciExWXNXNkpmbmgxeDFoWjVUdnhSMjAyS2hjZTJjSmx0RnY=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THINKPAD</cp:lastModifiedBy>
  <cp:revision>2</cp:revision>
  <dcterms:created xsi:type="dcterms:W3CDTF">2026-02-10T10:20:00Z</dcterms:created>
  <dcterms:modified xsi:type="dcterms:W3CDTF">2026-02-10T10:20:00Z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2F1498F49B9E4585A60AD69224253D68_13</vt:lpwstr>
  </property>
</Properties>
</file>