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Simulation-Based Comparison of Controlled Interrupted Time Series and Multivariable Regression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m:oMath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Fredrick Orwa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1,3</m:t>
            </m:r>
          </m:sup>
        </m:sSup>
        <m:r>
          <w:rPr>
            <w:rFonts w:ascii="Cambria Math" w:cs="Cambria Math" w:eastAsia="Cambria Math" w:hAnsi="Cambria Math"/>
          </w:rPr>
          <m:t xml:space="preserve">,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m:oMath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Charles Mutai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1</m:t>
            </m:r>
          </m:sup>
        </m:sSup>
      </m:oMath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,</w:t>
      </w:r>
      <m:oMath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ldephonse Nizeyimana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1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m:oMath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Ann Mwangi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1,2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1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Department of Mathematics,Physics,and Computing, Moi University, Kenya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</w:t>
      </w: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2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The Academic Model Providing Access to Healthcare (AMPATH), Kenya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</w:t>
      </w:r>
      <m:oMath>
        <m:sSub>
          <m:sSubPr>
            <m:ctrlPr>
              <w:rPr>
                <w:rFonts w:ascii="Cambria Math" w:cs="Cambria Math" w:eastAsia="Cambria Math" w:hAnsi="Cambria Math"/>
                <w:b w:val="1"/>
                <w:bCs w:val="1"/>
                <w:color w:val="ffffff"/>
                <w:sz w:val="30"/>
                <w:szCs w:val="30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3</m:t>
            </m:r>
          </m:e>
          <m:sub>
            <m:r>
              <w:rPr>
                <w:rFonts w:ascii="Cambria Math" w:cs="Cambria Math" w:eastAsia="Cambria Math" w:hAnsi="Cambria Math"/>
                <w:b w:val="1"/>
                <w:bCs w:val="1"/>
                <w:color w:val="ffffff"/>
                <w:sz w:val="30"/>
                <w:szCs w:val="30"/>
              </w:rPr>
              <m:t xml:space="preserve">Center for Epidemiological Modelling and Analysis (CEMA)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Table S1: Calculated </w:t>
      </w: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sim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formulas for performance measures (The number of simulations was chosen using a pilot run of 100 simulations under the most restrictive setting (</w:t>
      </w:r>
      <m:oMath>
        <m:r>
          <w:rPr>
            <w:rFonts w:ascii="Cambria Math" w:cs="Cambria Math" w:eastAsia="Cambria Math" w:hAnsi="Cambria Math"/>
            <w:i w:val="1"/>
            <w:iCs w:val="1"/>
          </w:rPr>
          <m:t xml:space="preserve">n 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=12,</w:t>
      </w:r>
      <m:oMath>
        <m:r>
          <m:t>ρ</m:t>
        </m:r>
      </m:oMath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=0.8,effect size(small) =-0.0408), such that the Monte Carlo standard errors for bias, mean squared error, model-based and empirical standard errors were below 0.005, and those for coverage and power were below 0.5 percentage points).</w:t>
      </w:r>
    </w:p>
    <w:tbl>
      <w:tblPr>
        <w:tblStyle w:val="Table1"/>
        <w:tblW w:w="917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34"/>
        <w:gridCol w:w="4568"/>
        <w:gridCol w:w="2377"/>
        <w:tblGridChange w:id="0">
          <w:tblGrid>
            <w:gridCol w:w="2234"/>
            <w:gridCol w:w="4568"/>
            <w:gridCol w:w="2377"/>
          </w:tblGrid>
        </w:tblGridChange>
      </w:tblGrid>
      <w:tr>
        <w:trPr>
          <w:cantSplit w:val="0"/>
          <w:trHeight w:val="883.4022021588452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160" w:before="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Performance measure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160" w:before="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Formula for number simulations required(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n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sim</m:t>
                  </m:r>
                </m:sub>
              </m:sSub>
              <m:r>
                <w:rPr>
                  <w:rFonts w:ascii="Cambria Math" w:cs="Cambria Math" w:eastAsia="Cambria Math" w:hAnsi="Cambria Math"/>
                </w:rPr>
                <m:t xml:space="preserve">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160" w:before="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Number of simulations(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n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sim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160" w:before="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Bias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rFonts w:ascii="Cambria Math" w:cs="Cambria Math" w:eastAsia="Cambria Math" w:hAnsi="Cambria Math"/>
              </w:rPr>
            </w:pPr>
            <m:oMath>
              <m:f>
                <m:num>
                  <m:f>
                    <m:fPr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cs="Cambria Math" w:eastAsia="Cambria Math" w:hAnsi="Cambria Math"/>
                        </w:rPr>
                        <m:t xml:space="preserve"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cs="Cambria Math" w:eastAsia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cs="Cambria Math" w:eastAsia="Cambria Math" w:hAnsi="Cambria Math"/>
                            </w:rPr>
                            <m:t xml:space="preserve">n</m:t>
                          </m:r>
                        </m:e>
                        <m:sub>
                          <m:r>
                            <w:rPr>
                              <w:rFonts w:ascii="Cambria Math" w:cs="Cambria Math" w:eastAsia="Cambria Math" w:hAnsi="Cambria Math"/>
                            </w:rPr>
                            <m:t xml:space="preserve">sim-1</m:t>
                          </m:r>
                        </m:sub>
                      </m:sSub>
                    </m:den>
                  </m:f>
                  <m:nary>
                    <m:naryPr>
                      <m:chr m:val="∑"/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cs="Cambria Math" w:eastAsia="Cambria Math" w:hAnsi="Cambria Math"/>
                        </w:rPr>
                        <m:t xml:space="preserve">1</m:t>
                      </m:r>
                    </m:sub>
                    <m:sup>
                      <m:sSub>
                        <m:sSubPr>
                          <m:ctrlPr>
                            <w:rPr>
                              <w:rFonts w:ascii="Cambria Math" w:cs="Cambria Math" w:eastAsia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cs="Cambria Math" w:eastAsia="Cambria Math" w:hAnsi="Cambria Math"/>
                            </w:rPr>
                            <m:t xml:space="preserve">n</m:t>
                          </m:r>
                        </m:e>
                        <m:sub>
                          <m:r>
                            <w:rPr>
                              <w:rFonts w:ascii="Cambria Math" w:cs="Cambria Math" w:eastAsia="Cambria Math" w:hAnsi="Cambria Math"/>
                            </w:rPr>
                            <m:t xml:space="preserve">sim</m:t>
                          </m:r>
                        </m:sub>
                      </m:sSub>
                    </m:sup>
                  </m:nary>
                  <m:sSup>
                    <m:sSupPr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</w:rPr>
                        <m:t xml:space="preserve">(</m:t>
                      </m:r>
                      <m:acc>
                        <m:accPr>
                          <m:chr m:val="̂"/>
                          <m:ctrlPr>
                            <w:rPr>
                              <w:rFonts w:ascii="Cambria Math" w:cs="Cambria Math" w:eastAsia="Cambria Math" w:hAnsi="Cambria Math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cs="Cambria Math" w:eastAsia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cs="Cambria Math" w:eastAsia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cs="Cambria Math" w:eastAsia="Cambria Math" w:hAnsi="Cambria Math"/>
                                </w:rPr>
                                <m:t xml:space="preserve">i</m:t>
                              </m:r>
                            </m:sub>
                          </m:sSub>
                        </m:e>
                      </m:acc>
                      <m:r>
                        <w:rPr>
                          <w:rFonts w:ascii="Cambria Math" w:cs="Cambria Math" w:eastAsia="Cambria Math" w:hAnsi="Cambria Math"/>
                        </w:rPr>
                        <m:t xml:space="preserve">-</m:t>
                      </m:r>
                      <m:bar>
                        <m:barPr>
                          <m:pos/>
                          <m:ctrlPr>
                            <w:rPr>
                              <w:rFonts w:ascii="Cambria Math" w:cs="Cambria Math" w:eastAsia="Cambria Math" w:hAnsi="Cambria Math"/>
                            </w:rPr>
                          </m:ctrlPr>
                        </m:barPr>
                        <m:e>
                          <m:r>
                            <w:rPr>
                              <w:rFonts w:ascii="Cambria Math" w:cs="Cambria Math" w:eastAsia="Cambria Math" w:hAnsi="Cambria Math"/>
                            </w:rPr>
                            <m:t>θ</m:t>
                          </m:r>
                        </m:e>
                      </m:bar>
                      <m:r>
                        <w:rPr>
                          <w:rFonts w:ascii="Cambria Math" w:cs="Cambria Math" w:eastAsia="Cambria Math" w:hAnsi="Cambria Math"/>
                        </w:rPr>
                        <m:t xml:space="preserve">)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</w:rPr>
                        <m:t xml:space="preserve"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sSupPr>
                    <m:e>
                      <m:d>
                        <m:dPr>
                          <m:begChr m:val="("/>
                          <m:endChr m:val=")"/>
                          <m:ctrlPr>
                            <w:rPr>
                              <w:rFonts w:ascii="Cambria Math" w:cs="Cambria Math" w:eastAsia="Cambria Math" w:hAnsi="Cambria Math"/>
                            </w:rPr>
                          </m:ctrlPr>
                        </m:dPr>
                        <m:e>
                          <m:rad>
                            <m:radPr>
                              <m:degHide m:val="1"/>
                              <m:ctrlPr>
                                <w:rPr>
                                  <w:rFonts w:ascii="Cambria Math" w:cs="Cambria Math" w:eastAsia="Cambria Math" w:hAnsi="Cambria Math"/>
                                </w:rPr>
                              </m:ctrlPr>
                            </m:radPr>
                            <m:e>
                              <m:f>
                                <m:fPr>
                                  <m:ctrlPr>
                                    <w:rPr>
                                      <w:rFonts w:ascii="Cambria Math" w:cs="Cambria Math" w:eastAsia="Cambria Math" w:hAnsi="Cambria Math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cs="Cambria Math" w:eastAsia="Cambria Math" w:hAnsi="Cambria Math"/>
                                    </w:rPr>
                                    <m:t xml:space="preserve">1</m:t>
                                  </m:r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cs="Cambria Math" w:eastAsia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cs="Cambria Math" w:eastAsia="Cambria Math" w:hAnsi="Cambria Math"/>
                                        </w:rPr>
                                        <m:t xml:space="preserve">n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cs="Cambria Math" w:eastAsia="Cambria Math" w:hAnsi="Cambria Math"/>
                                        </w:rPr>
                                        <m:t xml:space="preserve">sim</m:t>
                                      </m:r>
                                      <m:d>
                                        <m:dPr>
                                          <m:begChr m:val="("/>
                                          <m:endChr m:val=")"/>
                                          <m:ctrlPr>
                                            <w:rPr>
                                              <w:rFonts w:ascii="Cambria Math" w:cs="Cambria Math" w:eastAsia="Cambria Math" w:hAnsi="Cambria Math"/>
                                            </w:rPr>
                                          </m:ctrlPr>
                                        </m:dP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cs="Cambria Math" w:eastAsia="Cambria Math" w:hAnsi="Cambria Math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cs="Cambria Math" w:eastAsia="Cambria Math" w:hAnsi="Cambria Math"/>
                                                </w:rPr>
                                                <m:t xml:space="preserve">n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cs="Cambria Math" w:eastAsia="Cambria Math" w:hAnsi="Cambria Math"/>
                                                </w:rPr>
                                                <m:t xml:space="preserve">sim-1</m:t>
                                              </m:r>
                                            </m:sub>
                                          </m:sSub>
                                        </m:e>
                                      </m:d>
                                    </m:sub>
                                  </m:sSub>
                                </m:den>
                              </m:f>
                              <m:nary>
                                <m:naryPr>
                                  <m:chr m:val="∑"/>
                                  <m:ctrlPr>
                                    <w:rPr>
                                      <w:rFonts w:ascii="Cambria Math" w:cs="Cambria Math" w:eastAsia="Cambria Math" w:hAnsi="Cambria Math"/>
                                    </w:rPr>
                                  </m:ctrlPr>
                                </m:naryPr>
                                <m:sub>
                                  <m:r>
                                    <w:rPr>
                                      <w:rFonts w:ascii="Cambria Math" w:cs="Cambria Math" w:eastAsia="Cambria Math" w:hAnsi="Cambria Math"/>
                                    </w:rPr>
                                    <m:t xml:space="preserve">1</m:t>
                                  </m:r>
                                </m:sub>
                                <m:sup>
                                  <m:sSub>
                                    <m:sSubPr>
                                      <m:ctrlPr>
                                        <w:rPr>
                                          <w:rFonts w:ascii="Cambria Math" w:cs="Cambria Math" w:eastAsia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cs="Cambria Math" w:eastAsia="Cambria Math" w:hAnsi="Cambria Math"/>
                                        </w:rPr>
                                        <m:t xml:space="preserve">n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cs="Cambria Math" w:eastAsia="Cambria Math" w:hAnsi="Cambria Math"/>
                                        </w:rPr>
                                        <m:t xml:space="preserve">sim</m:t>
                                      </m:r>
                                    </m:sub>
                                  </m:sSub>
                                </m:sup>
                              </m:nary>
                              <m:sSup>
                                <m:sSupPr>
                                  <m:ctrlPr>
                                    <w:rPr>
                                      <w:rFonts w:ascii="Cambria Math" w:cs="Cambria Math" w:eastAsia="Cambria Math" w:hAnsi="Cambria Math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cs="Cambria Math" w:eastAsia="Cambria Math" w:hAnsi="Cambria Math"/>
                                    </w:rPr>
                                    <m:t xml:space="preserve">(</m:t>
                                  </m:r>
                                  <m:acc>
                                    <m:accPr>
                                      <m:chr m:val="̂"/>
                                      <m:ctrlPr>
                                        <w:rPr>
                                          <w:rFonts w:ascii="Cambria Math" w:cs="Cambria Math" w:eastAsia="Cambria Math" w:hAnsi="Cambria Math"/>
                                        </w:rPr>
                                      </m:ctrlPr>
                                    </m:acc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cs="Cambria Math" w:eastAsia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cs="Cambria Math" w:eastAsia="Cambria Math" w:hAnsi="Cambria Math"/>
                                            </w:rPr>
                                            <m:t>θ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cs="Cambria Math" w:eastAsia="Cambria Math" w:hAnsi="Cambria Math"/>
                                            </w:rPr>
                                            <m:t xml:space="preserve">i</m:t>
                                          </m:r>
                                        </m:sub>
                                      </m:sSub>
                                    </m:e>
                                  </m:acc>
                                  <m:r>
                                    <w:rPr>
                                      <w:rFonts w:ascii="Cambria Math" w:cs="Cambria Math" w:eastAsia="Cambria Math" w:hAnsi="Cambria Math"/>
                                    </w:rPr>
                                    <m:t xml:space="preserve">-</m:t>
                                  </m:r>
                                  <m:bar>
                                    <m:barPr>
                                      <m:pos/>
                                      <m:ctrlPr>
                                        <w:rPr>
                                          <w:rFonts w:ascii="Cambria Math" w:cs="Cambria Math" w:eastAsia="Cambria Math" w:hAnsi="Cambria Math"/>
                                        </w:rPr>
                                      </m:ctrlPr>
                                    </m:barPr>
                                    <m:e>
                                      <m:r>
                                        <w:rPr>
                                          <w:rFonts w:ascii="Cambria Math" w:cs="Cambria Math" w:eastAsia="Cambria Math" w:hAnsi="Cambria Math"/>
                                        </w:rPr>
                                        <m:t>θ</m:t>
                                      </m:r>
                                    </m:e>
                                  </m:bar>
                                  <m:r>
                                    <w:rPr>
                                      <w:rFonts w:ascii="Cambria Math" w:cs="Cambria Math" w:eastAsia="Cambria Math" w:hAnsi="Cambria Math"/>
                                    </w:rPr>
                                    <m:t xml:space="preserve">)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cs="Cambria Math" w:eastAsia="Cambria Math" w:hAnsi="Cambria Math"/>
                                    </w:rPr>
                                    <m:t xml:space="preserve">2</m:t>
                                  </m:r>
                                </m:sup>
                              </m:sSup>
                            </m:e>
                          </m:rad>
                        </m:e>
                      </m:d>
                    </m:e>
                    <m:sup>
                      <m:r>
                        <w:rPr>
                          <w:rFonts w:ascii="Cambria Math" w:cs="Cambria Math" w:eastAsia="Cambria Math" w:hAnsi="Cambria Math"/>
                        </w:rPr>
                        <m:t xml:space="preserve">2</m:t>
                      </m:r>
                    </m:sup>
                  </m:sSup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160" w:before="0" w:line="259" w:lineRule="auto"/>
              <w:rPr/>
            </w:pPr>
            <w:r w:rsidDel="00000000" w:rsidR="00000000" w:rsidRPr="00000000">
              <w:rPr>
                <w:rtl w:val="0"/>
              </w:rPr>
              <w:t xml:space="preserve">8688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160" w:before="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Mean square error (MSE)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rFonts w:ascii="Cambria Math" w:cs="Cambria Math" w:eastAsia="Cambria Math" w:hAnsi="Cambria Math"/>
              </w:rPr>
            </w:pPr>
            <m:oMath>
              <m:f>
                <m:num>
                  <m:f>
                    <m:fPr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cs="Cambria Math" w:eastAsia="Cambria Math" w:hAnsi="Cambria Math"/>
                        </w:rPr>
                        <m:t xml:space="preserve"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cs="Cambria Math" w:eastAsia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cs="Cambria Math" w:eastAsia="Cambria Math" w:hAnsi="Cambria Math"/>
                            </w:rPr>
                            <m:t xml:space="preserve">n</m:t>
                          </m:r>
                        </m:e>
                        <m:sub>
                          <m:r>
                            <w:rPr>
                              <w:rFonts w:ascii="Cambria Math" w:cs="Cambria Math" w:eastAsia="Cambria Math" w:hAnsi="Cambria Math"/>
                            </w:rPr>
                            <m:t xml:space="preserve">sim-1</m:t>
                          </m:r>
                        </m:sub>
                      </m:sSub>
                    </m:den>
                  </m:f>
                  <m:nary>
                    <m:naryPr>
                      <m:chr m:val="∑"/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cs="Cambria Math" w:eastAsia="Cambria Math" w:hAnsi="Cambria Math"/>
                        </w:rPr>
                        <m:t xml:space="preserve">i</m:t>
                      </m:r>
                    </m:sub>
                    <m:sup>
                      <m:sSub>
                        <m:sSubPr>
                          <m:ctrlPr>
                            <w:rPr>
                              <w:rFonts w:ascii="Cambria Math" w:cs="Cambria Math" w:eastAsia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cs="Cambria Math" w:eastAsia="Cambria Math" w:hAnsi="Cambria Math"/>
                            </w:rPr>
                            <m:t xml:space="preserve">n</m:t>
                          </m:r>
                        </m:e>
                        <m:sub>
                          <m:r>
                            <w:rPr>
                              <w:rFonts w:ascii="Cambria Math" w:cs="Cambria Math" w:eastAsia="Cambria Math" w:hAnsi="Cambria Math"/>
                            </w:rPr>
                            <m:t xml:space="preserve">sim</m:t>
                          </m:r>
                        </m:sub>
                      </m:sSub>
                    </m:sup>
                  </m:nary>
                  <m:sSup>
                    <m:sSupPr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cs="Cambria Math" w:eastAsia="Cambria Math" w:hAnsi="Cambria Math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cs="Cambria Math" w:eastAsia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cs="Cambria Math" w:eastAsia="Cambria Math" w:hAnsi="Cambria Math"/>
                                </w:rPr>
                                <m:t xml:space="preserve">(</m:t>
                              </m:r>
                              <m:acc>
                                <m:accPr>
                                  <m:chr m:val="̂"/>
                                  <m:ctrlPr>
                                    <w:rPr>
                                      <w:rFonts w:ascii="Cambria Math" w:cs="Cambria Math" w:eastAsia="Cambria Math" w:hAnsi="Cambria Math"/>
                                    </w:rPr>
                                  </m:ctrlPr>
                                </m:acc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cs="Cambria Math" w:eastAsia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cs="Cambria Math" w:eastAsia="Cambria Math" w:hAnsi="Cambria Math"/>
                                        </w:rPr>
                                        <m:t>θ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cs="Cambria Math" w:eastAsia="Cambria Math" w:hAnsi="Cambria Math"/>
                                        </w:rPr>
                                        <m:t xml:space="preserve">i</m:t>
                                      </m:r>
                                    </m:sub>
                                  </m:sSub>
                                </m:e>
                              </m:acc>
                              <m:r>
                                <w:rPr>
                                  <w:rFonts w:ascii="Cambria Math" w:cs="Cambria Math" w:eastAsia="Cambria Math" w:hAnsi="Cambria Math"/>
                                </w:rPr>
                                <m:t xml:space="preserve">-</m:t>
                              </m:r>
                              <m:r>
                                <w:rPr>
                                  <w:rFonts w:ascii="Cambria Math" w:cs="Cambria Math" w:eastAsia="Cambria Math" w:hAnsi="Cambria Math"/>
                                </w:rPr>
                                <m:t>θ</m:t>
                              </m:r>
                              <m:r>
                                <w:rPr>
                                  <w:rFonts w:ascii="Cambria Math" w:cs="Cambria Math" w:eastAsia="Cambria Math" w:hAnsi="Cambria Math"/>
                                </w:rPr>
                                <m:t xml:space="preserve">)</m:t>
                              </m:r>
                            </m:e>
                            <m:sup>
                              <m:r>
                                <w:rPr>
                                  <w:rFonts w:ascii="Cambria Math" w:cs="Cambria Math" w:eastAsia="Cambria Math" w:hAnsi="Cambria Math"/>
                                </w:rPr>
                                <m:t xml:space="preserve">2</m:t>
                              </m:r>
                            </m:sup>
                          </m:sSup>
                          <m:r>
                            <w:rPr>
                              <w:rFonts w:ascii="Cambria Math" w:cs="Cambria Math" w:eastAsia="Cambria Math" w:hAnsi="Cambria Math"/>
                            </w:rPr>
                            <m:t xml:space="preserve">-MSE</m:t>
                          </m:r>
                        </m:e>
                      </m:d>
                    </m:e>
                    <m:sup>
                      <m:r>
                        <w:rPr>
                          <w:rFonts w:ascii="Cambria Math" w:cs="Cambria Math" w:eastAsia="Cambria Math" w:hAnsi="Cambria Math"/>
                        </w:rPr>
                        <m:t xml:space="preserve"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sSupPr>
                    <m:e>
                      <m:d>
                        <m:dPr>
                          <m:begChr m:val="("/>
                          <m:endChr m:val=")"/>
                          <m:ctrlPr>
                            <w:rPr>
                              <w:rFonts w:ascii="Cambria Math" w:cs="Cambria Math" w:eastAsia="Cambria Math" w:hAnsi="Cambria Math"/>
                            </w:rPr>
                          </m:ctrlPr>
                        </m:dPr>
                        <m:e>
                          <m:rad>
                            <m:radPr>
                              <m:degHide m:val="1"/>
                              <m:ctrlPr>
                                <w:rPr>
                                  <w:rFonts w:ascii="Cambria Math" w:cs="Cambria Math" w:eastAsia="Cambria Math" w:hAnsi="Cambria Math"/>
                                </w:rPr>
                              </m:ctrlPr>
                            </m:radPr>
                            <m:e>
                              <m:f>
                                <m:fPr>
                                  <m:ctrlPr>
                                    <w:rPr>
                                      <w:rFonts w:ascii="Cambria Math" w:cs="Cambria Math" w:eastAsia="Cambria Math" w:hAnsi="Cambria Math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cs="Cambria Math" w:eastAsia="Cambria Math" w:hAnsi="Cambria Math"/>
                                    </w:rPr>
                                    <m:t xml:space="preserve">1</m:t>
                                  </m:r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cs="Cambria Math" w:eastAsia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cs="Cambria Math" w:eastAsia="Cambria Math" w:hAnsi="Cambria Math"/>
                                        </w:rPr>
                                        <m:t xml:space="preserve">n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cs="Cambria Math" w:eastAsia="Cambria Math" w:hAnsi="Cambria Math"/>
                                        </w:rPr>
                                        <m:t xml:space="preserve">sim</m:t>
                                      </m:r>
                                      <m:d>
                                        <m:dPr>
                                          <m:begChr m:val="("/>
                                          <m:endChr m:val=")"/>
                                          <m:ctrlPr>
                                            <w:rPr>
                                              <w:rFonts w:ascii="Cambria Math" w:cs="Cambria Math" w:eastAsia="Cambria Math" w:hAnsi="Cambria Math"/>
                                            </w:rPr>
                                          </m:ctrlPr>
                                        </m:dP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cs="Cambria Math" w:eastAsia="Cambria Math" w:hAnsi="Cambria Math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cs="Cambria Math" w:eastAsia="Cambria Math" w:hAnsi="Cambria Math"/>
                                                </w:rPr>
                                                <m:t xml:space="preserve">n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cs="Cambria Math" w:eastAsia="Cambria Math" w:hAnsi="Cambria Math"/>
                                                </w:rPr>
                                                <m:t xml:space="preserve">sim-1</m:t>
                                              </m:r>
                                            </m:sub>
                                          </m:sSub>
                                        </m:e>
                                      </m:d>
                                    </m:sub>
                                  </m:sSub>
                                </m:den>
                              </m:f>
                              <m:nary>
                                <m:naryPr>
                                  <m:chr m:val="∑"/>
                                  <m:ctrlPr>
                                    <w:rPr>
                                      <w:rFonts w:ascii="Cambria Math" w:cs="Cambria Math" w:eastAsia="Cambria Math" w:hAnsi="Cambria Math"/>
                                    </w:rPr>
                                  </m:ctrlPr>
                                </m:naryPr>
                                <m:sub>
                                  <m:r>
                                    <w:rPr>
                                      <w:rFonts w:ascii="Cambria Math" w:cs="Cambria Math" w:eastAsia="Cambria Math" w:hAnsi="Cambria Math"/>
                                    </w:rPr>
                                    <m:t xml:space="preserve">1</m:t>
                                  </m:r>
                                </m:sub>
                                <m:sup>
                                  <m:sSub>
                                    <m:sSubPr>
                                      <m:ctrlPr>
                                        <w:rPr>
                                          <w:rFonts w:ascii="Cambria Math" w:cs="Cambria Math" w:eastAsia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cs="Cambria Math" w:eastAsia="Cambria Math" w:hAnsi="Cambria Math"/>
                                        </w:rPr>
                                        <m:t xml:space="preserve">n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cs="Cambria Math" w:eastAsia="Cambria Math" w:hAnsi="Cambria Math"/>
                                        </w:rPr>
                                        <m:t xml:space="preserve">sim</m:t>
                                      </m:r>
                                    </m:sub>
                                  </m:sSub>
                                </m:sup>
                              </m:nary>
                              <m:sSup>
                                <m:sSupPr>
                                  <m:ctrlPr>
                                    <w:rPr>
                                      <w:rFonts w:ascii="Cambria Math" w:cs="Cambria Math" w:eastAsia="Cambria Math" w:hAnsi="Cambria Math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begChr m:val="["/>
                                      <m:endChr m:val="]"/>
                                      <m:ctrlPr>
                                        <w:rPr>
                                          <w:rFonts w:ascii="Cambria Math" w:cs="Cambria Math" w:eastAsia="Cambria Math" w:hAnsi="Cambria Math"/>
                                        </w:rPr>
                                      </m:ctrlPr>
                                    </m:dPr>
                                    <m:e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cs="Cambria Math" w:eastAsia="Cambria Math" w:hAnsi="Cambria Math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cs="Cambria Math" w:eastAsia="Cambria Math" w:hAnsi="Cambria Math"/>
                                            </w:rPr>
                                            <m:t xml:space="preserve">(</m:t>
                                          </m:r>
                                          <m:acc>
                                            <m:accPr>
                                              <m:chr m:val="̂"/>
                                              <m:ctrlPr>
                                                <w:rPr>
                                                  <w:rFonts w:ascii="Cambria Math" w:cs="Cambria Math" w:eastAsia="Cambria Math" w:hAnsi="Cambria Math"/>
                                                </w:rPr>
                                              </m:ctrlPr>
                                            </m:accPr>
                                            <m:e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cs="Cambria Math" w:eastAsia="Cambria Math" w:hAnsi="Cambria Math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cs="Cambria Math" w:eastAsia="Cambria Math" w:hAnsi="Cambria Math"/>
                                                    </w:rPr>
                                                    <m:t>θ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cs="Cambria Math" w:eastAsia="Cambria Math" w:hAnsi="Cambria Math"/>
                                                    </w:rPr>
                                                    <m:t xml:space="preserve">i</m:t>
                                                  </m:r>
                                                </m:sub>
                                              </m:sSub>
                                            </m:e>
                                          </m:acc>
                                          <m:r>
                                            <w:rPr>
                                              <w:rFonts w:ascii="Cambria Math" w:cs="Cambria Math" w:eastAsia="Cambria Math" w:hAnsi="Cambria Math"/>
                                            </w:rPr>
                                            <m:t xml:space="preserve">-</m:t>
                                          </m:r>
                                          <m:r>
                                            <w:rPr>
                                              <w:rFonts w:ascii="Cambria Math" w:cs="Cambria Math" w:eastAsia="Cambria Math" w:hAnsi="Cambria Math"/>
                                            </w:rPr>
                                            <m:t>θ</m:t>
                                          </m:r>
                                          <m:r>
                                            <w:rPr>
                                              <w:rFonts w:ascii="Cambria Math" w:cs="Cambria Math" w:eastAsia="Cambria Math" w:hAnsi="Cambria Math"/>
                                            </w:rPr>
                                            <m:t xml:space="preserve">)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cs="Cambria Math" w:eastAsia="Cambria Math" w:hAnsi="Cambria Math"/>
                                            </w:rPr>
                                            <m:t xml:space="preserve">2</m:t>
                                          </m:r>
                                        </m:sup>
                                      </m:sSup>
                                      <m:r>
                                        <w:rPr>
                                          <w:rFonts w:ascii="Cambria Math" w:cs="Cambria Math" w:eastAsia="Cambria Math" w:hAnsi="Cambria Math"/>
                                        </w:rPr>
                                        <m:t xml:space="preserve">-MSE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cs="Cambria Math" w:eastAsia="Cambria Math" w:hAnsi="Cambria Math"/>
                                    </w:rPr>
                                    <m:t xml:space="preserve">2</m:t>
                                  </m:r>
                                </m:sup>
                              </m:sSup>
                            </m:e>
                          </m:rad>
                        </m:e>
                      </m:d>
                    </m:e>
                    <m:sup>
                      <m:r>
                        <w:rPr>
                          <w:rFonts w:ascii="Cambria Math" w:cs="Cambria Math" w:eastAsia="Cambria Math" w:hAnsi="Cambria Math"/>
                        </w:rPr>
                        <m:t xml:space="preserve">2</m:t>
                      </m:r>
                    </m:sup>
                  </m:sSup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160" w:before="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2827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after="160" w:before="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Empirical standard error(</w:t>
            </w:r>
            <w:r w:rsidDel="00000000" w:rsidR="00000000" w:rsidRPr="00000000">
              <w:rPr>
                <w:color w:val="000000"/>
                <w:sz w:val="21"/>
                <w:szCs w:val="21"/>
                <w:highlight w:val="white"/>
                <w:rtl w:val="0"/>
              </w:rPr>
              <w:t xml:space="preserve">EmpSE)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60" w:before="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1+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</w:rPr>
                  </m:ctrlPr>
                </m:fPr>
                <m:num>
                  <m:acc>
                    <m:accPr>
                      <m:chr m:val="̂"/>
                    </m:accPr>
                    <m:e>
                      <m:sSup>
                        <m:sSupPr>
                          <m:ctrlPr>
                            <w:rPr>
                              <w:rFonts w:ascii="Cambria Math" w:cs="Cambria Math" w:eastAsia="Cambria Math" w:hAnsi="Cambria Math"/>
                              <w:color w:val="000000"/>
                              <w:highlight w:val="white"/>
                            </w:rPr>
                          </m:ctrlPr>
                        </m:sSupPr>
                        <m:e>
                          <m:r>
                            <w:rPr>
                              <w:rFonts w:ascii="Cambria Math" w:cs="Cambria Math" w:eastAsia="Cambria Math" w:hAnsi="Cambria Math"/>
                              <w:color w:val="000000"/>
                              <w:highlight w:val="white"/>
                            </w:rPr>
                            <m:t xml:space="preserve">EmpSE</m:t>
                          </m:r>
                        </m:e>
                        <m:sup>
                          <m:r>
                            <w:rPr>
                              <w:rFonts w:ascii="Cambria Math" w:cs="Cambria Math" w:eastAsia="Cambria Math" w:hAnsi="Cambria Math"/>
                              <w:color w:val="000000"/>
                              <w:highlight w:val="white"/>
                            </w:rPr>
                            <m:t xml:space="preserve">2</m:t>
                          </m:r>
                        </m:sup>
                      </m:sSup>
                    </m:e>
                  </m:acc>
                </m:num>
                <m:den>
                  <m:r>
                    <w:rPr>
                      <w:rFonts w:ascii="Cambria Math" w:cs="Cambria Math" w:eastAsia="Cambria Math" w:hAnsi="Cambria Math"/>
                    </w:rPr>
                    <m:t xml:space="preserve">2</m:t>
                  </m:r>
                  <m:sSup>
                    <m:sSupPr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sSupPr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cs="Cambria Math" w:eastAsia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cs="Cambria Math" w:eastAsia="Cambria Math" w:hAnsi="Cambria Math"/>
                            </w:rPr>
                            <m:t xml:space="preserve">MCSE</m:t>
                          </m:r>
                          <m:d>
                            <m:dPr>
                              <m:begChr m:val="("/>
                              <m:endChr m:val=")"/>
                              <m:ctrlPr>
                                <w:rPr>
                                  <w:rFonts w:ascii="Cambria Math" w:cs="Cambria Math" w:eastAsia="Cambria Math" w:hAnsi="Cambria Math"/>
                                </w:rPr>
                              </m:ctrlPr>
                            </m:dPr>
                            <m:e>
                              <m:acc>
                                <m:accPr>
                                  <m:chr m:val="̂"/>
                                  <m:ctrlPr>
                                    <w:rPr>
                                      <w:rFonts w:ascii="Cambria Math" w:cs="Cambria Math" w:eastAsia="Cambria Math" w:hAnsi="Cambria Math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cs="Cambria Math" w:eastAsia="Cambria Math" w:hAnsi="Cambria Math"/>
                                    </w:rPr>
                                    <m:t xml:space="preserve">EmpSE</m:t>
                                  </m:r>
                                </m:e>
                              </m:acc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cs="Cambria Math" w:eastAsia="Cambria Math" w:hAnsi="Cambria Math"/>
                        </w:rPr>
                        <m:t xml:space="preserve">2</m:t>
                      </m:r>
                    </m:sup>
                  </m:sSup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160" w:before="0" w:line="259" w:lineRule="auto"/>
              <w:rPr/>
            </w:pPr>
            <w:r w:rsidDel="00000000" w:rsidR="00000000" w:rsidRPr="00000000">
              <w:rPr>
                <w:rtl w:val="0"/>
              </w:rPr>
              <w:t xml:space="preserve">4345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after="160" w:before="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Model-based standard error (</w:t>
            </w:r>
            <w:r w:rsidDel="00000000" w:rsidR="00000000" w:rsidRPr="00000000">
              <w:rPr>
                <w:color w:val="000000"/>
                <w:sz w:val="21"/>
                <w:szCs w:val="21"/>
                <w:highlight w:val="white"/>
                <w:rtl w:val="0"/>
              </w:rPr>
              <w:t xml:space="preserve">ModSE)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Cambria Math" w:cs="Cambria Math" w:eastAsia="Cambria Math" w:hAnsi="Cambria Math"/>
              </w:rPr>
            </w:pPr>
            <m:oMath>
              <m:f>
                <m:fPr>
                  <m:ctrlPr>
                    <w:rPr>
                      <w:rFonts w:ascii="Cambria Math" w:cs="Cambria Math" w:eastAsia="Cambria Math" w:hAnsi="Cambria Math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</w:rPr>
                    <m:t xml:space="preserve">Var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dPr>
                    <m:e>
                      <m:acc>
                        <m:accPr>
                          <m:chr m:val="̂"/>
                          <m:ctrlPr>
                            <w:rPr>
                              <w:rFonts w:ascii="Cambria Math" w:cs="Cambria Math" w:eastAsia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cs="Cambria Math" w:eastAsia="Cambria Math" w:hAnsi="Cambria Math"/>
                            </w:rPr>
                            <m:t xml:space="preserve">Var</m:t>
                          </m:r>
                          <m:d>
                            <m:dPr>
                              <m:begChr m:val="("/>
                              <m:endChr m:val=")"/>
                              <m:ctrlPr>
                                <w:rPr>
                                  <w:rFonts w:ascii="Cambria Math" w:cs="Cambria Math" w:eastAsia="Cambria Math" w:hAnsi="Cambria Math"/>
                                </w:rPr>
                              </m:ctrlPr>
                            </m:dPr>
                            <m:e>
                              <m:acc>
                                <m:accPr>
                                  <m:chr m:val="̂"/>
                                  <m:ctrlPr>
                                    <w:rPr>
                                      <w:rFonts w:ascii="Cambria Math" w:cs="Cambria Math" w:eastAsia="Cambria Math" w:hAnsi="Cambria Math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cs="Cambria Math" w:eastAsia="Cambria Math" w:hAnsi="Cambria Math"/>
                                    </w:rPr>
                                    <m:t>θ</m:t>
                                  </m:r>
                                </m:e>
                              </m:acc>
                            </m:e>
                          </m:d>
                        </m:e>
                      </m:acc>
                    </m:e>
                  </m:d>
                </m:num>
                <m:den>
                  <m:r>
                    <w:rPr>
                      <w:rFonts w:ascii="Cambria Math" w:cs="Cambria Math" w:eastAsia="Cambria Math" w:hAnsi="Cambria Math"/>
                    </w:rPr>
                    <m:t xml:space="preserve">4</m:t>
                  </m:r>
                  <m:acc>
                    <m:accPr>
                      <m:chr m:val="̂"/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accPr>
                    <m:e>
                      <m:sSup>
                        <m:sSupPr>
                          <m:ctrlPr>
                            <w:rPr>
                              <w:rFonts w:ascii="Cambria Math" w:cs="Cambria Math" w:eastAsia="Cambria Math" w:hAnsi="Cambria Math"/>
                              <w:color w:val="000000"/>
                              <w:sz w:val="21"/>
                              <w:szCs w:val="21"/>
                              <w:highlight w:val="white"/>
                            </w:rPr>
                          </m:ctrlPr>
                        </m:sSupPr>
                        <m:e>
                          <m:r>
                            <w:rPr>
                              <w:rFonts w:ascii="Cambria Math" w:cs="Cambria Math" w:eastAsia="Cambria Math" w:hAnsi="Cambria Math"/>
                              <w:color w:val="000000"/>
                              <w:sz w:val="21"/>
                              <w:szCs w:val="21"/>
                              <w:highlight w:val="white"/>
                            </w:rPr>
                            <m:t xml:space="preserve">ModSE</m:t>
                          </m:r>
                        </m:e>
                        <m:sup>
                          <m:r>
                            <w:rPr>
                              <w:rFonts w:ascii="Cambria Math" w:cs="Cambria Math" w:eastAsia="Cambria Math" w:hAnsi="Cambria Math"/>
                              <w:color w:val="000000"/>
                              <w:sz w:val="21"/>
                              <w:szCs w:val="21"/>
                              <w:highlight w:val="white"/>
                            </w:rPr>
                            <m:t xml:space="preserve">2</m:t>
                          </m:r>
                        </m:sup>
                      </m:sSup>
                    </m:e>
                  </m:acc>
                  <m:sSup>
                    <m:sSupPr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sSupPr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cs="Cambria Math" w:eastAsia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cs="Cambria Math" w:eastAsia="Cambria Math" w:hAnsi="Cambria Math"/>
                            </w:rPr>
                            <m:t xml:space="preserve">MCSE</m:t>
                          </m:r>
                          <m:d>
                            <m:dPr>
                              <m:begChr m:val="("/>
                              <m:endChr m:val=")"/>
                              <m:ctrlPr>
                                <w:rPr>
                                  <w:rFonts w:ascii="Cambria Math" w:cs="Cambria Math" w:eastAsia="Cambria Math" w:hAnsi="Cambria Math"/>
                                </w:rPr>
                              </m:ctrlPr>
                            </m:dPr>
                            <m:e>
                              <m:acc>
                                <m:accPr>
                                  <m:chr m:val="̂"/>
                                  <m:ctrlPr>
                                    <w:rPr>
                                      <w:rFonts w:ascii="Cambria Math" w:cs="Cambria Math" w:eastAsia="Cambria Math" w:hAnsi="Cambria Math"/>
                                      <w:color w:val="000000"/>
                                      <w:sz w:val="21"/>
                                      <w:szCs w:val="21"/>
                                      <w:highlight w:val="white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cs="Cambria Math" w:eastAsia="Cambria Math" w:hAnsi="Cambria Math"/>
                                      <w:color w:val="000000"/>
                                      <w:sz w:val="21"/>
                                      <w:szCs w:val="21"/>
                                      <w:highlight w:val="white"/>
                                    </w:rPr>
                                    <m:t xml:space="preserve">ModSE</m:t>
                                  </m:r>
                                </m:e>
                              </m:acc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cs="Cambria Math" w:eastAsia="Cambria Math" w:hAnsi="Cambria Math"/>
                        </w:rPr>
                        <m:t xml:space="preserve">2</m:t>
                      </m:r>
                    </m:sup>
                  </m:sSup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160" w:before="0" w:line="259" w:lineRule="auto"/>
              <w:rPr/>
            </w:pPr>
            <w:r w:rsidDel="00000000" w:rsidR="00000000" w:rsidRPr="00000000">
              <w:rPr>
                <w:rtl w:val="0"/>
              </w:rPr>
              <w:t xml:space="preserve">822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after="160" w:before="0" w:line="259" w:lineRule="auto"/>
              <w:rPr/>
            </w:pPr>
            <w:r w:rsidDel="00000000" w:rsidR="00000000" w:rsidRPr="00000000">
              <w:rPr>
                <w:rtl w:val="0"/>
              </w:rPr>
              <w:t xml:space="preserve">95% Coverage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rFonts w:ascii="Cambria Math" w:cs="Cambria Math" w:eastAsia="Cambria Math" w:hAnsi="Cambria Math"/>
              </w:rPr>
            </w:pPr>
            <m:oMath>
              <m:f>
                <m:fPr>
                  <m:ctrlPr>
                    <w:rPr>
                      <w:rFonts w:ascii="Cambria Math" w:cs="Cambria Math" w:eastAsia="Cambria Math" w:hAnsi="Cambria Math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</w:rPr>
                    <m:t xml:space="preserve">Coverage</m:t>
                  </m:r>
                  <m:d>
                    <m:dPr>
                      <m:begChr m:val="("/>
                      <m:endChr m:val=")"/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cs="Cambria Math" w:eastAsia="Cambria Math" w:hAnsi="Cambria Math"/>
                        </w:rPr>
                        <m:t xml:space="preserve">1-Coverage</m:t>
                      </m: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sSupPr>
                    <m:e>
                      <m:d>
                        <m:dPr>
                          <m:begChr m:val="("/>
                          <m:endChr m:val=")"/>
                          <m:ctrlPr>
                            <w:rPr>
                              <w:rFonts w:ascii="Cambria Math" w:cs="Cambria Math" w:eastAsia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cs="Cambria Math" w:eastAsia="Cambria Math" w:hAnsi="Cambria Math"/>
                            </w:rPr>
                            <m:t xml:space="preserve">MCSE</m:t>
                          </m:r>
                          <m:d>
                            <m:dPr>
                              <m:begChr m:val="("/>
                              <m:endChr m:val=")"/>
                              <m:ctrlPr>
                                <w:rPr>
                                  <w:rFonts w:ascii="Cambria Math" w:cs="Cambria Math" w:eastAsia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cs="Cambria Math" w:eastAsia="Cambria Math" w:hAnsi="Cambria Math"/>
                                </w:rPr>
                                <m:t xml:space="preserve">Coverage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cs="Cambria Math" w:eastAsia="Cambria Math" w:hAnsi="Cambria Math"/>
                        </w:rPr>
                        <m:t xml:space="preserve">2</m:t>
                      </m:r>
                    </m:sup>
                  </m:sSup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160" w:before="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1900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160" w:before="0" w:line="259" w:lineRule="auto"/>
              <w:rPr/>
            </w:pPr>
            <w:r w:rsidDel="00000000" w:rsidR="00000000" w:rsidRPr="00000000">
              <w:rPr>
                <w:rtl w:val="0"/>
              </w:rPr>
              <w:t xml:space="preserve">80% Power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rFonts w:ascii="Cambria Math" w:cs="Cambria Math" w:eastAsia="Cambria Math" w:hAnsi="Cambria Math"/>
              </w:rPr>
            </w:pPr>
            <m:oMath>
              <m:f>
                <m:fPr>
                  <m:ctrlPr>
                    <w:rPr>
                      <w:rFonts w:ascii="Cambria Math" w:cs="Cambria Math" w:eastAsia="Cambria Math" w:hAnsi="Cambria Math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</w:rPr>
                    <m:t xml:space="preserve">Power</m:t>
                  </m:r>
                  <m:d>
                    <m:dPr>
                      <m:begChr m:val="("/>
                      <m:endChr m:val=")"/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cs="Cambria Math" w:eastAsia="Cambria Math" w:hAnsi="Cambria Math"/>
                        </w:rPr>
                        <m:t xml:space="preserve">1-Power</m:t>
                      </m: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sSupPr>
                    <m:e>
                      <m:d>
                        <m:dPr>
                          <m:begChr m:val="("/>
                          <m:endChr m:val=")"/>
                          <m:ctrlPr>
                            <w:rPr>
                              <w:rFonts w:ascii="Cambria Math" w:cs="Cambria Math" w:eastAsia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cs="Cambria Math" w:eastAsia="Cambria Math" w:hAnsi="Cambria Math"/>
                            </w:rPr>
                            <m:t xml:space="preserve">MCSE</m:t>
                          </m:r>
                          <m:d>
                            <m:dPr>
                              <m:begChr m:val="("/>
                              <m:endChr m:val=")"/>
                              <m:ctrlPr>
                                <w:rPr>
                                  <w:rFonts w:ascii="Cambria Math" w:cs="Cambria Math" w:eastAsia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cs="Cambria Math" w:eastAsia="Cambria Math" w:hAnsi="Cambria Math"/>
                                </w:rPr>
                                <m:t xml:space="preserve">Power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cs="Cambria Math" w:eastAsia="Cambria Math" w:hAnsi="Cambria Math"/>
                        </w:rPr>
                        <m:t xml:space="preserve">2</m:t>
                      </m:r>
                    </m:sup>
                  </m:sSup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160" w:before="0" w:line="259" w:lineRule="auto"/>
              <w:rPr/>
            </w:pPr>
            <w:r w:rsidDel="00000000" w:rsidR="00000000" w:rsidRPr="00000000">
              <w:rPr>
                <w:rtl w:val="0"/>
              </w:rPr>
              <w:t xml:space="preserve">6400</w:t>
            </w:r>
          </w:p>
        </w:tc>
      </w:tr>
    </w:tbl>
    <w:p w:rsidR="00000000" w:rsidDel="00000000" w:rsidP="00000000" w:rsidRDefault="00000000" w:rsidRPr="00000000" w14:paraId="00000030">
      <w:pPr>
        <w:spacing w:after="160" w:before="0" w:line="259" w:lineRule="auto"/>
        <w:rPr/>
      </w:pPr>
      <w:r w:rsidDel="00000000" w:rsidR="00000000" w:rsidRPr="00000000">
        <w:rPr>
          <w:rtl w:val="0"/>
        </w:rPr>
        <w:t xml:space="preserve">Here, MCSE denotes the desired Monte Carlo standard error and </w:t>
      </w:r>
      <m:oMath>
        <m:r>
          <m:t>ρ</m:t>
        </m:r>
      </m:oMath>
      <w:r w:rsidDel="00000000" w:rsidR="00000000" w:rsidRPr="00000000">
        <w:rPr>
          <w:rtl w:val="0"/>
        </w:rPr>
        <w:t xml:space="preserve"> denotes lag-1 auto-correlation. Consequently, the largest required number of simulations (8,688) was selected.</w:t>
      </w:r>
    </w:p>
    <w:p w:rsidR="00000000" w:rsidDel="00000000" w:rsidP="00000000" w:rsidRDefault="00000000" w:rsidRPr="00000000" w14:paraId="00000031">
      <w:pPr>
        <w:spacing w:after="160"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before="0" w:line="259" w:lineRule="auto"/>
        <w:rPr/>
      </w:pPr>
      <w:r w:rsidDel="00000000" w:rsidR="00000000" w:rsidRPr="00000000">
        <w:rPr>
          <w:rtl w:val="0"/>
        </w:rPr>
        <w:t xml:space="preserve">Table S2: Summary of key studies informing parameters of this study</w:t>
      </w:r>
    </w:p>
    <w:tbl>
      <w:tblPr>
        <w:tblStyle w:val="Table2"/>
        <w:tblW w:w="9021.0" w:type="dxa"/>
        <w:jc w:val="left"/>
        <w:tblInd w:w="-5.0" w:type="dxa"/>
        <w:tblLayout w:type="fixed"/>
        <w:tblLook w:val="0400"/>
      </w:tblPr>
      <w:tblGrid>
        <w:gridCol w:w="3578"/>
        <w:gridCol w:w="820"/>
        <w:gridCol w:w="4623"/>
        <w:tblGridChange w:id="0">
          <w:tblGrid>
            <w:gridCol w:w="3578"/>
            <w:gridCol w:w="820"/>
            <w:gridCol w:w="4623"/>
          </w:tblGrid>
        </w:tblGridChange>
      </w:tblGrid>
      <w:tr>
        <w:trPr>
          <w:cantSplit w:val="0"/>
          <w:trHeight w:val="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7">
            <w:pPr>
              <w:spacing w:before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Author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8">
            <w:pPr>
              <w:spacing w:before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Year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9">
            <w:pPr>
              <w:spacing w:before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Link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A">
            <w:pPr>
              <w:spacing w:before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Hammitt et 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B">
            <w:pPr>
              <w:spacing w:before="0" w:line="240" w:lineRule="auto"/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C">
            <w:pPr>
              <w:spacing w:before="0" w:line="240" w:lineRule="auto"/>
              <w:rPr>
                <w:rFonts w:ascii="Calibri" w:cs="Calibri" w:eastAsia="Calibri" w:hAnsi="Calibri"/>
                <w:color w:val="0563c1"/>
                <w:sz w:val="22"/>
                <w:szCs w:val="22"/>
                <w:u w:val="single"/>
              </w:rPr>
            </w:pPr>
            <w:hyperlink r:id="rId7">
              <w:r w:rsidDel="00000000" w:rsidR="00000000" w:rsidRPr="00000000">
                <w:rPr>
                  <w:rFonts w:ascii="Calibri" w:cs="Calibri" w:eastAsia="Calibri" w:hAnsi="Calibri"/>
                  <w:color w:val="0563c1"/>
                  <w:sz w:val="22"/>
                  <w:szCs w:val="22"/>
                  <w:u w:val="single"/>
                  <w:rtl w:val="0"/>
                </w:rPr>
                <w:t xml:space="preserve">https://doi.org/10.1016/S0140-6736(18)33005-8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D">
            <w:pPr>
              <w:spacing w:before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Silaba et 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E">
            <w:pPr>
              <w:spacing w:before="0" w:line="240" w:lineRule="auto"/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F">
            <w:pPr>
              <w:spacing w:before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https://doi.org/10.1016/S2214-109X(18)30491-1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0">
            <w:pPr>
              <w:spacing w:before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Bottomley, Isham</w:t>
              <w:br w:type="textWrapping"/>
              <w:t xml:space="preserve">&amp; Scott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1">
            <w:pPr>
              <w:spacing w:before="0" w:line="240" w:lineRule="auto"/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2">
            <w:pPr>
              <w:spacing w:before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https://doi.org/10.1515/em-2018-0010</w:t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3">
            <w:pPr>
              <w:spacing w:before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Lopez Bernal et 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4">
            <w:pPr>
              <w:spacing w:before="0" w:line="240" w:lineRule="auto"/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2017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5">
            <w:pPr>
              <w:spacing w:before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https://pubmed.ncbi.nlm.nih.gov/27283160/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6">
            <w:pPr>
              <w:spacing w:before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Haeusler et 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7">
            <w:pPr>
              <w:spacing w:before="0" w:line="240" w:lineRule="auto"/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8">
            <w:pPr>
              <w:spacing w:before="0" w:line="240" w:lineRule="auto"/>
              <w:rPr>
                <w:rFonts w:ascii="Calibri" w:cs="Calibri" w:eastAsia="Calibri" w:hAnsi="Calibri"/>
                <w:color w:val="0563c1"/>
                <w:sz w:val="22"/>
                <w:szCs w:val="22"/>
                <w:u w:val="single"/>
              </w:rPr>
            </w:pPr>
            <w:hyperlink r:id="rId8">
              <w:r w:rsidDel="00000000" w:rsidR="00000000" w:rsidRPr="00000000">
                <w:rPr>
                  <w:rFonts w:ascii="Calibri" w:cs="Calibri" w:eastAsia="Calibri" w:hAnsi="Calibri"/>
                  <w:color w:val="0563c1"/>
                  <w:sz w:val="22"/>
                  <w:szCs w:val="22"/>
                  <w:u w:val="single"/>
                  <w:rtl w:val="0"/>
                </w:rPr>
                <w:t xml:space="preserve">https://doi.org/10.1371/journal.pgph.0004888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9">
            <w:pPr>
              <w:spacing w:before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Ong’ayo et 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A">
            <w:pPr>
              <w:spacing w:before="0" w:line="240" w:lineRule="auto"/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B">
            <w:pPr>
              <w:spacing w:before="0" w:line="240" w:lineRule="auto"/>
              <w:rPr>
                <w:rFonts w:ascii="Calibri" w:cs="Calibri" w:eastAsia="Calibri" w:hAnsi="Calibri"/>
                <w:color w:val="0563c1"/>
                <w:sz w:val="22"/>
                <w:szCs w:val="22"/>
                <w:u w:val="single"/>
              </w:rPr>
            </w:pPr>
            <w:hyperlink r:id="rId9">
              <w:r w:rsidDel="00000000" w:rsidR="00000000" w:rsidRPr="00000000">
                <w:rPr>
                  <w:rFonts w:ascii="Calibri" w:cs="Calibri" w:eastAsia="Calibri" w:hAnsi="Calibri"/>
                  <w:color w:val="0563c1"/>
                  <w:sz w:val="22"/>
                  <w:szCs w:val="22"/>
                  <w:u w:val="single"/>
                  <w:rtl w:val="0"/>
                </w:rPr>
                <w:t xml:space="preserve">https://doi.org/10.1016/S2214-109X(19)30188-3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C">
            <w:pPr>
              <w:spacing w:before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Turner et 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D">
            <w:pPr>
              <w:spacing w:before="0" w:line="240" w:lineRule="auto"/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E">
            <w:pPr>
              <w:spacing w:before="0" w:line="240" w:lineRule="auto"/>
              <w:rPr>
                <w:rFonts w:ascii="Calibri" w:cs="Calibri" w:eastAsia="Calibri" w:hAnsi="Calibri"/>
                <w:color w:val="0563c1"/>
                <w:sz w:val="22"/>
                <w:szCs w:val="22"/>
                <w:u w:val="single"/>
              </w:rPr>
            </w:pPr>
            <w:hyperlink r:id="rId10">
              <w:r w:rsidDel="00000000" w:rsidR="00000000" w:rsidRPr="00000000">
                <w:rPr>
                  <w:rFonts w:ascii="Calibri" w:cs="Calibri" w:eastAsia="Calibri" w:hAnsi="Calibri"/>
                  <w:color w:val="0563c1"/>
                  <w:sz w:val="22"/>
                  <w:szCs w:val="22"/>
                  <w:u w:val="single"/>
                  <w:rtl w:val="0"/>
                </w:rPr>
                <w:t xml:space="preserve">https://pubmed.ncbi.nlm.nih.gov/34454418/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F">
            <w:pPr>
              <w:spacing w:before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Talbert et 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0">
            <w:pPr>
              <w:spacing w:before="0" w:line="240" w:lineRule="auto"/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1">
            <w:pPr>
              <w:spacing w:before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https://pubmed.ncbi.nlm.nih.gov/36631234/</w:t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2">
            <w:pPr>
              <w:spacing w:before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TP Morris, IR White &amp; MJ Crowther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3">
            <w:pPr>
              <w:spacing w:before="0" w:line="240" w:lineRule="auto"/>
              <w:jc w:val="righ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2019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spacing w:before="0" w:line="240" w:lineRule="auto"/>
              <w:rPr>
                <w:rFonts w:ascii="Calibri" w:cs="Calibri" w:eastAsia="Calibri" w:hAnsi="Calibri"/>
                <w:color w:val="0563c1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563c1"/>
                <w:sz w:val="22"/>
                <w:szCs w:val="22"/>
                <w:u w:val="single"/>
                <w:rtl w:val="0"/>
              </w:rPr>
              <w:t xml:space="preserve"> https://doi.org/10.1002/sim.8086</w:t>
            </w:r>
          </w:p>
        </w:tc>
      </w:tr>
    </w:tbl>
    <w:p w:rsidR="00000000" w:rsidDel="00000000" w:rsidP="00000000" w:rsidRDefault="00000000" w:rsidRPr="00000000" w14:paraId="00000055">
      <w:pPr>
        <w:spacing w:after="160"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60"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60"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60"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60"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60"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60"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60"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60"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60"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60"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60"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60"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60"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60"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60" w:before="0" w:line="259" w:lineRule="auto"/>
        <w:rPr/>
      </w:pPr>
      <w:r w:rsidDel="00000000" w:rsidR="00000000" w:rsidRPr="00000000">
        <w:rPr>
          <w:rtl w:val="0"/>
        </w:rPr>
        <w:t xml:space="preserve">Table S3: Definitions of performance measures.</w:t>
      </w:r>
    </w:p>
    <w:tbl>
      <w:tblPr>
        <w:tblStyle w:val="Table3"/>
        <w:tblW w:w="89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A0"/>
      </w:tblPr>
      <w:tblGrid>
        <w:gridCol w:w="2293"/>
        <w:gridCol w:w="3005"/>
        <w:gridCol w:w="3628"/>
        <w:tblGridChange w:id="0">
          <w:tblGrid>
            <w:gridCol w:w="2293"/>
            <w:gridCol w:w="3005"/>
            <w:gridCol w:w="3628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65">
            <w:pPr>
              <w:keepNext w:val="1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Performance measure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66">
            <w:pPr>
              <w:keepNext w:val="1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67">
            <w:pPr>
              <w:keepNext w:val="1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Estimate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keepNext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Bias</w:t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1"/>
              <w:rPr>
                <w:sz w:val="20"/>
                <w:szCs w:val="20"/>
              </w:rPr>
            </w:pPr>
            <w:r w:rsidDel="00000000" w:rsidR="00000000" w:rsidRPr="00000000">
              <w:rPr/>
              <w:drawing>
                <wp:inline distB="0" distT="0" distL="0" distR="0">
                  <wp:extent cx="460375" cy="175260"/>
                  <wp:effectExtent b="0" l="0" r="0" t="0"/>
                  <wp:docPr descr="C:\Users\THINKPAD\AppData\Local\Temp\ksohtml3608\wps14.jpg" id="15" name="image8.jpg"/>
                  <a:graphic>
                    <a:graphicData uri="http://schemas.openxmlformats.org/drawingml/2006/picture">
                      <pic:pic>
                        <pic:nvPicPr>
                          <pic:cNvPr descr="C:\Users\THINKPAD\AppData\Local\Temp\ksohtml3608\wps14.jpg" id="0" name="image8.jp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375" cy="1752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1"/>
              <w:rPr>
                <w:sz w:val="20"/>
                <w:szCs w:val="20"/>
              </w:rPr>
            </w:pPr>
            <w:r w:rsidDel="00000000" w:rsidR="00000000" w:rsidRPr="00000000">
              <w:rPr/>
              <w:drawing>
                <wp:inline distB="0" distT="0" distL="0" distR="0">
                  <wp:extent cx="765175" cy="427990"/>
                  <wp:effectExtent b="0" l="0" r="0" t="0"/>
                  <wp:docPr descr="C:\Users\THINKPAD\AppData\Local\Temp\ksohtml3608\wps15.jpg" id="17" name="image6.jpg"/>
                  <a:graphic>
                    <a:graphicData uri="http://schemas.openxmlformats.org/drawingml/2006/picture">
                      <pic:pic>
                        <pic:nvPicPr>
                          <pic:cNvPr descr="C:\Users\THINKPAD\AppData\Local\Temp\ksohtml3608\wps15.jpg" id="0" name="image6.jp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5175" cy="4279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keepNext w:val="1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Empirical standard error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1"/>
              <w:rPr>
                <w:sz w:val="20"/>
                <w:szCs w:val="20"/>
              </w:rPr>
            </w:pPr>
            <w:r w:rsidDel="00000000" w:rsidR="00000000" w:rsidRPr="00000000">
              <w:rPr/>
              <w:drawing>
                <wp:inline distB="0" distT="0" distL="0" distR="0">
                  <wp:extent cx="486410" cy="304800"/>
                  <wp:effectExtent b="0" l="0" r="0" t="0"/>
                  <wp:docPr descr="C:\Users\THINKPAD\AppData\Local\Temp\ksohtml3608\wps16.jpg" id="16" name="image5.jpg"/>
                  <a:graphic>
                    <a:graphicData uri="http://schemas.openxmlformats.org/drawingml/2006/picture">
                      <pic:pic>
                        <pic:nvPicPr>
                          <pic:cNvPr descr="C:\Users\THINKPAD\AppData\Local\Temp\ksohtml3608\wps16.jpg" id="0" name="image5.jp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410" cy="304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1"/>
              <w:rPr>
                <w:sz w:val="20"/>
                <w:szCs w:val="20"/>
              </w:rPr>
            </w:pPr>
            <w:r w:rsidDel="00000000" w:rsidR="00000000" w:rsidRPr="00000000">
              <w:rPr/>
              <w:drawing>
                <wp:inline distB="0" distT="0" distL="0" distR="0">
                  <wp:extent cx="1245235" cy="589915"/>
                  <wp:effectExtent b="0" l="0" r="0" t="0"/>
                  <wp:docPr descr="C:\Users\THINKPAD\AppData\Local\Temp\ksohtml3608\wps17.jpg" id="19" name="image9.jpg"/>
                  <a:graphic>
                    <a:graphicData uri="http://schemas.openxmlformats.org/drawingml/2006/picture">
                      <pic:pic>
                        <pic:nvPicPr>
                          <pic:cNvPr descr="C:\Users\THINKPAD\AppData\Local\Temp\ksohtml3608\wps17.jpg" id="0" name="image9.jp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5235" cy="5899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keepNext w:val="1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Mean square error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1"/>
              <w:rPr>
                <w:sz w:val="20"/>
                <w:szCs w:val="20"/>
              </w:rPr>
            </w:pPr>
            <w:r w:rsidDel="00000000" w:rsidR="00000000" w:rsidRPr="00000000">
              <w:rPr/>
              <w:drawing>
                <wp:inline distB="0" distT="0" distL="0" distR="0">
                  <wp:extent cx="687705" cy="226695"/>
                  <wp:effectExtent b="0" l="0" r="0" t="0"/>
                  <wp:docPr descr="C:\Users\THINKPAD\AppData\Local\Temp\ksohtml3608\wps18.jpg" id="18" name="image1.jpg"/>
                  <a:graphic>
                    <a:graphicData uri="http://schemas.openxmlformats.org/drawingml/2006/picture">
                      <pic:pic>
                        <pic:nvPicPr>
                          <pic:cNvPr descr="C:\Users\THINKPAD\AppData\Local\Temp\ksohtml3608\wps18.jpg" id="0" name="image1.jp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705" cy="2266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1"/>
              <w:rPr>
                <w:sz w:val="20"/>
                <w:szCs w:val="20"/>
              </w:rPr>
            </w:pPr>
            <w:r w:rsidDel="00000000" w:rsidR="00000000" w:rsidRPr="00000000">
              <w:rPr/>
              <w:drawing>
                <wp:inline distB="0" distT="0" distL="0" distR="0">
                  <wp:extent cx="934085" cy="427990"/>
                  <wp:effectExtent b="0" l="0" r="0" t="0"/>
                  <wp:docPr descr="C:\Users\THINKPAD\AppData\Local\Temp\ksohtml3608\wps19.jpg" id="22" name="image12.jpg"/>
                  <a:graphic>
                    <a:graphicData uri="http://schemas.openxmlformats.org/drawingml/2006/picture">
                      <pic:pic>
                        <pic:nvPicPr>
                          <pic:cNvPr descr="C:\Users\THINKPAD\AppData\Local\Temp\ksohtml3608\wps19.jpg" id="0" name="image12.jp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4085" cy="4279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keepNext w:val="1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Coverage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1"/>
              <w:rPr>
                <w:sz w:val="20"/>
                <w:szCs w:val="20"/>
              </w:rPr>
            </w:pPr>
            <w:r w:rsidDel="00000000" w:rsidR="00000000" w:rsidRPr="00000000">
              <w:rPr/>
              <w:drawing>
                <wp:inline distB="0" distT="0" distL="0" distR="0">
                  <wp:extent cx="1096010" cy="175260"/>
                  <wp:effectExtent b="0" l="0" r="0" t="0"/>
                  <wp:docPr descr="C:\Users\THINKPAD\AppData\Local\Temp\ksohtml3608\wps20.jpg" id="21" name="image3.jpg"/>
                  <a:graphic>
                    <a:graphicData uri="http://schemas.openxmlformats.org/drawingml/2006/picture">
                      <pic:pic>
                        <pic:nvPicPr>
                          <pic:cNvPr descr="C:\Users\THINKPAD\AppData\Local\Temp\ksohtml3608\wps20.jpg" id="0" name="image3.jp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6010" cy="1752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1"/>
              <w:rPr>
                <w:sz w:val="20"/>
                <w:szCs w:val="20"/>
              </w:rPr>
            </w:pPr>
            <w:r w:rsidDel="00000000" w:rsidR="00000000" w:rsidRPr="00000000">
              <w:rPr/>
              <w:drawing>
                <wp:inline distB="0" distT="0" distL="0" distR="0">
                  <wp:extent cx="1562735" cy="427990"/>
                  <wp:effectExtent b="0" l="0" r="0" t="0"/>
                  <wp:docPr descr="C:\Users\THINKPAD\AppData\Local\Temp\ksohtml3608\wps21.jpg" id="24" name="image7.jpg"/>
                  <a:graphic>
                    <a:graphicData uri="http://schemas.openxmlformats.org/drawingml/2006/picture">
                      <pic:pic>
                        <pic:nvPicPr>
                          <pic:cNvPr descr="C:\Users\THINKPAD\AppData\Local\Temp\ksohtml3608\wps21.jpg" id="0" name="image7.jp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735" cy="4279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keepNext w:val="1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Power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1"/>
              <w:rPr>
                <w:sz w:val="20"/>
                <w:szCs w:val="20"/>
              </w:rPr>
            </w:pPr>
            <w:r w:rsidDel="00000000" w:rsidR="00000000" w:rsidRPr="00000000">
              <w:rPr/>
              <w:drawing>
                <wp:inline distB="0" distT="0" distL="0" distR="0">
                  <wp:extent cx="583565" cy="142875"/>
                  <wp:effectExtent b="0" l="0" r="0" t="0"/>
                  <wp:docPr descr="C:\Users\THINKPAD\AppData\Local\Temp\ksohtml3608\wps22.jpg" id="23" name="image4.jpg"/>
                  <a:graphic>
                    <a:graphicData uri="http://schemas.openxmlformats.org/drawingml/2006/picture">
                      <pic:pic>
                        <pic:nvPicPr>
                          <pic:cNvPr descr="C:\Users\THINKPAD\AppData\Local\Temp\ksohtml3608\wps22.jpg" id="0" name="image4.jp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565" cy="142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1"/>
              <w:rPr>
                <w:sz w:val="20"/>
                <w:szCs w:val="20"/>
              </w:rPr>
            </w:pPr>
            <w:r w:rsidDel="00000000" w:rsidR="00000000" w:rsidRPr="00000000">
              <w:rPr/>
              <w:drawing>
                <wp:inline distB="0" distT="0" distL="0" distR="0">
                  <wp:extent cx="953135" cy="427990"/>
                  <wp:effectExtent b="0" l="0" r="0" t="0"/>
                  <wp:docPr descr="C:\Users\THINKPAD\AppData\Local\Temp\ksohtml3608\wps23.jpg" id="26" name="image14.jpg"/>
                  <a:graphic>
                    <a:graphicData uri="http://schemas.openxmlformats.org/drawingml/2006/picture">
                      <pic:pic>
                        <pic:nvPicPr>
                          <pic:cNvPr descr="C:\Users\THINKPAD\AppData\Local\Temp\ksohtml3608\wps23.jpg" id="0" name="image14.jp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3135" cy="4279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keepNext w:val="1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model-based standard error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/>
            </w:pPr>
            <m:oMath>
              <m:rad>
                <m:radPr>
                  <m:degHide m:val="1"/>
                  <m:ctrlPr>
                    <w:rPr/>
                  </m:ctrlPr>
                </m:radPr>
                <m:e>
                  <m: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  <m:t xml:space="preserve">E</m:t>
                  </m:r>
                  <m:r>
                    <w:rPr/>
                    <m:t xml:space="preserve">⌊</m:t>
                  </m:r>
                  <m:acc>
                    <m:accPr>
                      <m:chr m:val="̂"/>
                      <m:ctrlPr>
                        <w:rPr>
                          <w:rFonts w:ascii="Cambria Math" w:cs="Cambria Math" w:eastAsia="Cambria Math" w:hAnsi="Cambria Math"/>
                          <w:sz w:val="20"/>
                          <w:szCs w:val="20"/>
                        </w:rPr>
                      </m:ctrlPr>
                    </m:accPr>
                    <m:e>
                      <m:r>
                        <w:rPr>
                          <w:rFonts w:ascii="Cambria Math" w:cs="Cambria Math" w:eastAsia="Cambria Math" w:hAnsi="Cambria Math"/>
                          <w:sz w:val="20"/>
                          <w:szCs w:val="20"/>
                        </w:rPr>
                        <m:t xml:space="preserve">Var</m:t>
                      </m:r>
                    </m:e>
                  </m:acc>
                  <m:d>
                    <m:dPr>
                      <m:begChr m:val="("/>
                      <m:endChr m:val=")"/>
                      <m:ctrlPr>
                        <w:rPr>
                          <w:rFonts w:ascii="Cambria Math" w:cs="Cambria Math" w:eastAsia="Cambria Math" w:hAnsi="Cambria Math"/>
                          <w:sz w:val="20"/>
                          <w:szCs w:val="20"/>
                        </w:rPr>
                      </m:ctrlPr>
                    </m:dPr>
                    <m:e>
                      <m:acc>
                        <m:accPr>
                          <m:chr m:val="̂"/>
                          <m:ctrlPr>
                            <w:rPr>
                              <w:rFonts w:ascii="Cambria Math" w:cs="Cambria Math" w:eastAsia="Cambria Math" w:hAnsi="Cambria Math"/>
                              <w:sz w:val="20"/>
                              <w:szCs w:val="20"/>
                            </w:rPr>
                          </m:ctrlPr>
                        </m:accPr>
                        <m:e>
                          <m:r>
                            <w:rPr>
                              <w:rFonts w:ascii="Cambria Math" w:cs="Cambria Math" w:eastAsia="Cambria Math" w:hAnsi="Cambria Math"/>
                              <w:sz w:val="20"/>
                              <w:szCs w:val="20"/>
                            </w:rPr>
                            <m:t>θ</m:t>
                          </m:r>
                        </m:e>
                      </m:acc>
                    </m:e>
                  </m:d>
                  <m:r>
                    <w:rPr/>
                    <m:t xml:space="preserve">⌋</m:t>
                  </m:r>
                </m:e>
              </m:rad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rFonts w:ascii="Cambria Math" w:cs="Cambria Math" w:eastAsia="Cambria Math" w:hAnsi="Cambria Math"/>
                <w:sz w:val="20"/>
                <w:szCs w:val="20"/>
              </w:rPr>
            </w:pPr>
            <m:oMath>
              <m:rad>
                <m:radPr>
                  <m:degHide m:val="1"/>
                  <m:ctrlP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</m:ctrlPr>
                </m:radPr>
                <m:e>
                  <m:f>
                    <m:fPr>
                      <m:ctrlPr>
                        <w:rPr>
                          <w:rFonts w:ascii="Cambria Math" w:cs="Cambria Math" w:eastAsia="Cambria Math" w:hAnsi="Cambria Math"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cs="Cambria Math" w:eastAsia="Cambria Math" w:hAnsi="Cambria Math"/>
                          <w:sz w:val="20"/>
                          <w:szCs w:val="20"/>
                        </w:rPr>
                        <m:t xml:space="preserve"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cs="Cambria Math" w:eastAsia="Cambria Math" w:hAnsi="Cambria Math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cs="Cambria Math" w:eastAsia="Cambria Math" w:hAnsi="Cambria Math"/>
                              <w:sz w:val="20"/>
                              <w:szCs w:val="20"/>
                            </w:rPr>
                            <m:t xml:space="preserve">n</m:t>
                          </m:r>
                        </m:e>
                        <m:sub>
                          <m:r>
                            <w:rPr>
                              <w:rFonts w:ascii="Cambria Math" w:cs="Cambria Math" w:eastAsia="Cambria Math" w:hAnsi="Cambria Math"/>
                              <w:sz w:val="20"/>
                              <w:szCs w:val="20"/>
                            </w:rPr>
                            <m:t xml:space="preserve">sim</m:t>
                          </m:r>
                        </m:sub>
                      </m:sSub>
                    </m:den>
                  </m:f>
                  <m:nary>
                    <m:naryPr>
                      <m:chr m:val="∑"/>
                      <m:ctrlPr>
                        <w:rPr>
                          <w:rFonts w:ascii="Cambria Math" w:cs="Cambria Math" w:eastAsia="Cambria Math" w:hAnsi="Cambria Math"/>
                          <w:sz w:val="20"/>
                          <w:szCs w:val="20"/>
                        </w:rPr>
                      </m:ctrlPr>
                    </m:naryPr>
                    <m:sub>
                      <m:r>
                        <w:rPr>
                          <w:rFonts w:ascii="Cambria Math" w:cs="Cambria Math" w:eastAsia="Cambria Math" w:hAnsi="Cambria Math"/>
                          <w:sz w:val="20"/>
                          <w:szCs w:val="20"/>
                        </w:rPr>
                        <m:t xml:space="preserve">1</m:t>
                      </m:r>
                    </m:sub>
                    <m:sup>
                      <m:sSub>
                        <m:sSubPr>
                          <m:ctrlPr>
                            <w:rPr>
                              <w:rFonts w:ascii="Cambria Math" w:cs="Cambria Math" w:eastAsia="Cambria Math" w:hAnsi="Cambria Math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cs="Cambria Math" w:eastAsia="Cambria Math" w:hAnsi="Cambria Math"/>
                              <w:sz w:val="20"/>
                              <w:szCs w:val="20"/>
                            </w:rPr>
                            <m:t xml:space="preserve">n</m:t>
                          </m:r>
                        </m:e>
                        <m:sub>
                          <m:r>
                            <w:rPr>
                              <w:rFonts w:ascii="Cambria Math" w:cs="Cambria Math" w:eastAsia="Cambria Math" w:hAnsi="Cambria Math"/>
                              <w:sz w:val="20"/>
                              <w:szCs w:val="20"/>
                            </w:rPr>
                            <m:t xml:space="preserve">sim</m:t>
                          </m:r>
                        </m:sub>
                      </m:sSub>
                    </m:sup>
                  </m:nary>
                  <m:acc>
                    <m:accPr>
                      <m:chr m:val="̂"/>
                      <m:ctrlPr>
                        <w:rPr>
                          <w:rFonts w:ascii="Cambria Math" w:cs="Cambria Math" w:eastAsia="Cambria Math" w:hAnsi="Cambria Math"/>
                          <w:sz w:val="20"/>
                          <w:szCs w:val="20"/>
                        </w:rPr>
                      </m:ctrlPr>
                    </m:accPr>
                    <m:e>
                      <m:r>
                        <w:rPr>
                          <w:rFonts w:ascii="Cambria Math" w:cs="Cambria Math" w:eastAsia="Cambria Math" w:hAnsi="Cambria Math"/>
                          <w:sz w:val="20"/>
                          <w:szCs w:val="20"/>
                        </w:rPr>
                        <m:t xml:space="preserve">Var</m:t>
                      </m:r>
                    </m:e>
                  </m:acc>
                  <m: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  <m:t xml:space="preserve">(</m:t>
                  </m:r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acc>
                        <m:accPr>
                          <m:chr m:val="̂"/>
                          <m:ctrlPr>
                            <w:rPr>
                              <w:rFonts w:ascii="Cambria Math" w:cs="Cambria Math" w:eastAsia="Cambria Math" w:hAnsi="Cambria Math"/>
                              <w:sz w:val="20"/>
                              <w:szCs w:val="20"/>
                            </w:rPr>
                          </m:ctrlPr>
                        </m:accPr>
                        <m:e>
                          <m:r>
                            <w:rPr>
                              <w:rFonts w:ascii="Cambria Math" w:cs="Cambria Math" w:eastAsia="Cambria Math" w:hAnsi="Cambria Math"/>
                              <w:sz w:val="20"/>
                              <w:szCs w:val="20"/>
                            </w:rPr>
                            <m:t>θ</m:t>
                          </m:r>
                        </m:e>
                      </m:acc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20"/>
                          <w:szCs w:val="20"/>
                        </w:rPr>
                        <m:t xml:space="preserve">i</m:t>
                      </m:r>
                    </m:sub>
                  </m:sSub>
                  <m: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  <m:t xml:space="preserve">)</m:t>
                  </m:r>
                </m:e>
              </m:rad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160"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Where </w:t>
      </w:r>
      <m:oMath>
        <m:r>
          <m:t>θ</m:t>
        </m:r>
      </m:oMath>
      <w:r w:rsidDel="00000000" w:rsidR="00000000" w:rsidRPr="00000000">
        <w:rPr>
          <w:rtl w:val="0"/>
        </w:rPr>
        <w:t xml:space="preserve"> represents the parameter under investigation,</w:t>
      </w:r>
      <w:r w:rsidDel="00000000" w:rsidR="00000000" w:rsidRPr="00000000">
        <w:rPr>
          <w:sz w:val="20"/>
          <w:szCs w:val="20"/>
          <w:rtl w:val="0"/>
        </w:rP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w:rPr>
            <w:rFonts w:ascii="Cambria Math" w:cs="Cambria Math" w:eastAsia="Cambria Math" w:hAnsi="Cambria Math"/>
            <w:sz w:val="20"/>
            <w:szCs w:val="20"/>
          </w:rPr>
          <m:t xml:space="preserve"> </m:t>
        </m:r>
      </m:oMath>
      <w:r w:rsidDel="00000000" w:rsidR="00000000" w:rsidRPr="00000000">
        <w:rPr>
          <w:rtl w:val="0"/>
        </w:rPr>
        <w:t xml:space="preserve">being the estimate of that parameter,</w:t>
      </w:r>
      <w:r w:rsidDel="00000000" w:rsidR="00000000" w:rsidRPr="00000000">
        <w:rPr>
          <w:sz w:val="20"/>
          <w:szCs w:val="20"/>
          <w:rtl w:val="0"/>
        </w:rPr>
        <w:t xml:space="preserve"> </w:t>
      </w:r>
      <m:oMath>
        <m:bar>
          <m:barPr>
            <m:pos/>
          </m:barPr>
          <m:e>
            <m:r>
              <m:t>θ</m:t>
            </m:r>
          </m:e>
        </m:bar>
      </m:oMath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being the mean value of the estimate,</w:t>
      </w:r>
      <w:r w:rsidDel="00000000" w:rsidR="00000000" w:rsidRPr="00000000">
        <w:rPr>
          <w:sz w:val="20"/>
          <w:szCs w:val="20"/>
          <w:rtl w:val="0"/>
        </w:rPr>
        <w:t xml:space="preserve"> </w:t>
      </w:r>
      <m:oMath>
        <m:sSub>
          <m:sSubPr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sim</m:t>
            </m:r>
          </m:sub>
        </m:sSub>
      </m:oMath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being the number of simulations (in this study, 86,88),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97155" cy="142875"/>
            <wp:effectExtent b="0" l="0" r="0" t="0"/>
            <wp:docPr descr="C:\Users\THINKPAD\AppData\Local\Temp\ksohtml32616\wps5.jpg" id="25" name="image2.jpg"/>
            <a:graphic>
              <a:graphicData uri="http://schemas.openxmlformats.org/drawingml/2006/picture">
                <pic:pic>
                  <pic:nvPicPr>
                    <pic:cNvPr descr="C:\Users\THINKPAD\AppData\Local\Temp\ksohtml32616\wps5.jpg" id="0" name="image2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155" cy="142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being the p-value of estimate</w:t>
      </w:r>
      <w:r w:rsidDel="00000000" w:rsidR="00000000" w:rsidRPr="00000000">
        <w:rPr>
          <w:sz w:val="20"/>
          <w:szCs w:val="20"/>
          <w:rtl w:val="0"/>
        </w:rPr>
        <w:t xml:space="preserve"> </w:t>
      </w: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i</m:t>
        </m:r>
      </m:oMath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sz w:val="20"/>
          <w:szCs w:val="20"/>
          <w:rtl w:val="0"/>
        </w:rPr>
        <w:t xml:space="preserve"> </w:t>
      </w:r>
      <m:oMath>
        <m:r>
          <m:t>α</m:t>
        </m:r>
      </m:oMath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being the significance level (5%).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bookmarkStart w:colFirst="0" w:colLast="0" w:name="_heading=h.kr9g1i1u2gye" w:id="0"/>
      <w:bookmarkEnd w:id="0"/>
      <w:r w:rsidDel="00000000" w:rsidR="00000000" w:rsidRPr="00000000">
        <w:rPr>
          <w:b w:val="1"/>
          <w:bCs w:val="1"/>
          <w:rtl w:val="0"/>
        </w:rPr>
        <w:t xml:space="preserve">Supplementary Figure 1.</w:t>
      </w:r>
      <w:r w:rsidDel="00000000" w:rsidR="00000000" w:rsidRPr="00000000">
        <w:rPr>
          <w:rtl w:val="0"/>
        </w:rPr>
        <w:t xml:space="preserve"> Results from the multivariable negative binomial regression (A), controlled interrupted time series model (B), and controlled interrupted time series model with control-series autocorrelation fixed at 0.4 (C).</w:t>
      </w:r>
    </w:p>
    <w:p w:rsidR="00000000" w:rsidDel="00000000" w:rsidP="00000000" w:rsidRDefault="00000000" w:rsidRPr="00000000" w14:paraId="00000085">
      <w:pPr>
        <w:rPr/>
      </w:pPr>
      <w:bookmarkStart w:colFirst="0" w:colLast="0" w:name="_heading=h.5f45pu8uitd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bookmarkStart w:colFirst="0" w:colLast="0" w:name="_heading=h.duj50pv9d0d8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bookmarkStart w:colFirst="0" w:colLast="0" w:name="_heading=h.2pdqlwrjwovh" w:id="3"/>
      <w:bookmarkEnd w:id="3"/>
      <w:r w:rsidDel="00000000" w:rsidR="00000000" w:rsidRPr="00000000">
        <w:rPr/>
        <w:drawing>
          <wp:inline distB="114300" distT="114300" distL="114300" distR="114300">
            <wp:extent cx="5919788" cy="3371850"/>
            <wp:effectExtent b="0" l="0" r="0" t="0"/>
            <wp:docPr id="2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9788" cy="3371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bookmarkStart w:colFirst="0" w:colLast="0" w:name="_heading=h.qxagrgx6bplj" w:id="4"/>
      <w:bookmarkEnd w:id="4"/>
      <w:r w:rsidDel="00000000" w:rsidR="00000000" w:rsidRPr="00000000">
        <w:rPr>
          <w:b w:val="1"/>
          <w:bCs w:val="1"/>
          <w:rtl w:val="0"/>
        </w:rPr>
        <w:t xml:space="preserve">Supplementary Figure 2.</w:t>
      </w:r>
      <w:r w:rsidDel="00000000" w:rsidR="00000000" w:rsidRPr="00000000">
        <w:rPr>
          <w:rtl w:val="0"/>
        </w:rPr>
        <w:t xml:space="preserve"> Empirical standard errors from the multivariable negative binomial regression (multivariable NB) and the controlled interrupted time series (CITS) model in which the control series shares the exact lag-1 autocorrelation magnitude (ρ) with the outcome series (Yt), as well as CITS with fixed autocorrelation (ρ = 0.4).</w:t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line="48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er">
    <w:name w:val="footer"/>
    <w:basedOn w:val="Normal"/>
    <w:link w:val="FooterChar"/>
    <w:uiPriority w:val="99"/>
    <w:unhideWhenUsed w:val="1"/>
    <w:pPr>
      <w:tabs>
        <w:tab w:val="center" w:pos="4680"/>
        <w:tab w:val="right" w:pos="9360"/>
      </w:tabs>
      <w:spacing w:before="0" w:line="240" w:lineRule="auto"/>
    </w:pPr>
  </w:style>
  <w:style w:type="paragraph" w:styleId="Header">
    <w:name w:val="header"/>
    <w:basedOn w:val="Normal"/>
    <w:link w:val="HeaderChar"/>
    <w:uiPriority w:val="99"/>
    <w:unhideWhenUsed w:val="1"/>
    <w:pPr>
      <w:tabs>
        <w:tab w:val="center" w:pos="4680"/>
        <w:tab w:val="right" w:pos="9360"/>
      </w:tabs>
      <w:spacing w:before="0" w:line="240" w:lineRule="auto"/>
    </w:pPr>
  </w:style>
  <w:style w:type="character" w:styleId="Hyperlink">
    <w:name w:val="Hyperlink"/>
    <w:basedOn w:val="DefaultParagraphFont"/>
    <w:uiPriority w:val="99"/>
    <w:semiHidden w:val="1"/>
    <w:unhideWhenUsed w:val="1"/>
    <w:rPr>
      <w:color w:val="0563c1"/>
      <w:u w:val="single"/>
    </w:rPr>
  </w:style>
  <w:style w:type="table" w:styleId="TableGrid">
    <w:name w:val="Table Grid"/>
    <w:basedOn w:val="TableNormal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PlainTable21" w:customStyle="1">
    <w:name w:val="Plain Table 21"/>
    <w:basedOn w:val="TableNormal"/>
    <w:uiPriority w:val="42"/>
    <w:rPr>
      <w:rFonts w:eastAsia="Times New Roman"/>
    </w:rPr>
    <w:tblPr>
      <w:tblBorders>
        <w:top w:color="7e7e7e" w:space="0" w:sz="4" w:val="single"/>
        <w:bottom w:color="7e7e7e" w:space="0" w:sz="4" w:val="single"/>
      </w:tblBorders>
    </w:tblPr>
    <w:tblStylePr w:type="firstRow">
      <w:rPr>
        <w:rFonts w:ascii="Times New Roman" w:cs="Times New Roman" w:hAnsi="Times New Roman" w:hint="default"/>
        <w:b w:val="1"/>
        <w:bCs w:val="1"/>
      </w:rPr>
      <w:tblPr/>
      <w:tcPr>
        <w:tcBorders>
          <w:bottom w:color="7e7e7e" w:space="0" w:sz="4" w:val="single"/>
        </w:tcBorders>
      </w:tcPr>
    </w:tblStylePr>
    <w:tblStylePr w:type="lastRow">
      <w:rPr>
        <w:rFonts w:ascii="Times New Roman" w:cs="Times New Roman" w:hAnsi="Times New Roman" w:hint="default"/>
        <w:b w:val="1"/>
        <w:bCs w:val="1"/>
      </w:rPr>
      <w:tblPr/>
      <w:tcPr>
        <w:tcBorders>
          <w:top w:color="7e7e7e" w:space="0" w:sz="4" w:val="single"/>
        </w:tcBorders>
      </w:tcPr>
    </w:tblStylePr>
    <w:tblStylePr w:type="firstCol">
      <w:rPr>
        <w:rFonts w:ascii="Times New Roman" w:cs="Times New Roman" w:hAnsi="Times New Roman" w:hint="default"/>
        <w:b w:val="1"/>
        <w:bCs w:val="1"/>
      </w:rPr>
    </w:tblStylePr>
    <w:tblStylePr w:type="lastCol">
      <w:rPr>
        <w:rFonts w:ascii="Times New Roman" w:cs="Times New Roman" w:hAnsi="Times New Roman" w:hint="default"/>
        <w:b w:val="1"/>
        <w:bCs w:val="1"/>
      </w:rPr>
    </w:tblStylePr>
    <w:tblStylePr w:type="band1Vert">
      <w:tblPr/>
      <w:tcPr>
        <w:tcBorders>
          <w:left w:color="7e7e7e" w:space="0" w:sz="4" w:val="single"/>
          <w:right w:color="7e7e7e" w:space="0" w:sz="4" w:val="single"/>
        </w:tcBorders>
      </w:tcPr>
    </w:tblStylePr>
    <w:tblStylePr w:type="band2Vert">
      <w:tblPr/>
      <w:tcPr>
        <w:tcBorders>
          <w:left w:color="7e7e7e" w:space="0" w:sz="4" w:val="single"/>
          <w:right w:color="7e7e7e" w:space="0" w:sz="4" w:val="single"/>
        </w:tcBorders>
      </w:tcPr>
    </w:tblStylePr>
    <w:tblStylePr w:type="band1Horz">
      <w:tblPr/>
      <w:tcPr>
        <w:tcBorders>
          <w:top w:color="7e7e7e" w:space="0" w:sz="4" w:val="single"/>
          <w:bottom w:color="7e7e7e" w:space="0" w:sz="4" w:val="single"/>
        </w:tcBorders>
      </w:tcPr>
    </w:tblStylePr>
  </w:style>
  <w:style w:type="character" w:styleId="PlaceholderText">
    <w:name w:val="Placeholder Text"/>
    <w:basedOn w:val="DefaultParagraphFont"/>
    <w:uiPriority w:val="99"/>
    <w:semiHidden w:val="1"/>
    <w:rPr>
      <w:color w:val="808080"/>
    </w:rPr>
  </w:style>
  <w:style w:type="character" w:styleId="HeaderChar" w:customStyle="1">
    <w:name w:val="Header Char"/>
    <w:basedOn w:val="DefaultParagraphFont"/>
    <w:link w:val="Header"/>
    <w:uiPriority w:val="99"/>
    <w:qFormat w:val="1"/>
    <w:rPr>
      <w:rFonts w:ascii="Arial" w:cs="Times New Roman" w:eastAsia="Calibri" w:hAnsi="Arial"/>
      <w:sz w:val="24"/>
      <w:szCs w:val="24"/>
    </w:rPr>
  </w:style>
  <w:style w:type="character" w:styleId="FooterChar" w:customStyle="1">
    <w:name w:val="Footer Char"/>
    <w:basedOn w:val="DefaultParagraphFont"/>
    <w:link w:val="Footer"/>
    <w:uiPriority w:val="99"/>
    <w:rPr>
      <w:rFonts w:ascii="Arial" w:cs="Times New Roman" w:eastAsia="Calibri" w:hAnsi="Arial"/>
      <w:sz w:val="24"/>
      <w:szCs w:val="24"/>
    </w:rPr>
  </w:style>
  <w:style w:type="character" w:styleId="Strong">
    <w:name w:val="Strong"/>
    <w:basedOn w:val="DefaultParagraphFont"/>
    <w:uiPriority w:val="22"/>
    <w:qFormat w:val="1"/>
    <w:rsid w:val="002F7CCA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7e7e7e" w:space="0" w:sz="4" w:val="single"/>
          <w:bottom w:color="7e7e7e" w:space="0" w:sz="4" w:val="single"/>
        </w:tcBorders>
      </w:tcPr>
    </w:tblStylePr>
    <w:tblStylePr w:type="band1Vert">
      <w:tcPr>
        <w:tcBorders>
          <w:left w:color="7e7e7e" w:space="0" w:sz="4" w:val="single"/>
          <w:right w:color="7e7e7e" w:space="0" w:sz="4" w:val="single"/>
        </w:tcBorders>
      </w:tcPr>
    </w:tblStylePr>
    <w:tblStylePr w:type="band2Vert">
      <w:tcPr>
        <w:tcBorders>
          <w:left w:color="7e7e7e" w:space="0" w:sz="4" w:val="single"/>
          <w:right w:color="7e7e7e" w:space="0" w:sz="4" w:val="single"/>
        </w:tcBorders>
      </w:tcPr>
    </w:tblStylePr>
    <w:tblStylePr w:type="firstCol">
      <w:rPr>
        <w:rFonts w:ascii="Times New Roman" w:cs="Times New Roman" w:eastAsia="Times New Roman" w:hAnsi="Times New Roman"/>
        <w:b w:val="1"/>
        <w:bCs w:val="1"/>
      </w:rPr>
    </w:tblStylePr>
    <w:tblStylePr w:type="firstRow">
      <w:rPr>
        <w:rFonts w:ascii="Times New Roman" w:cs="Times New Roman" w:eastAsia="Times New Roman" w:hAnsi="Times New Roman"/>
        <w:b w:val="1"/>
        <w:bCs w:val="1"/>
      </w:rPr>
      <w:tcPr>
        <w:tcBorders>
          <w:bottom w:color="7e7e7e" w:space="0" w:sz="4" w:val="single"/>
        </w:tcBorders>
      </w:tcPr>
    </w:tblStylePr>
    <w:tblStylePr w:type="lastCol">
      <w:rPr>
        <w:rFonts w:ascii="Times New Roman" w:cs="Times New Roman" w:eastAsia="Times New Roman" w:hAnsi="Times New Roman"/>
        <w:b w:val="1"/>
        <w:bCs w:val="1"/>
      </w:rPr>
    </w:tblStylePr>
    <w:tblStylePr w:type="lastRow">
      <w:rPr>
        <w:rFonts w:ascii="Times New Roman" w:cs="Times New Roman" w:eastAsia="Times New Roman" w:hAnsi="Times New Roman"/>
        <w:b w:val="1"/>
        <w:bCs w:val="1"/>
      </w:rPr>
      <w:tcPr>
        <w:tcBorders>
          <w:top w:color="7e7e7e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jpg"/><Relationship Id="rId22" Type="http://schemas.openxmlformats.org/officeDocument/2006/relationships/image" Target="media/image10.png"/><Relationship Id="rId21" Type="http://schemas.openxmlformats.org/officeDocument/2006/relationships/image" Target="media/image2.jpg"/><Relationship Id="rId24" Type="http://schemas.openxmlformats.org/officeDocument/2006/relationships/image" Target="media/image11.png"/><Relationship Id="rId23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i.org/10.1016/S2214-109X(19)30188-3" TargetMode="External"/><Relationship Id="rId25" Type="http://schemas.openxmlformats.org/officeDocument/2006/relationships/image" Target="media/image1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i.org/10.1016/S0140-6736(18)33005-8" TargetMode="External"/><Relationship Id="rId8" Type="http://schemas.openxmlformats.org/officeDocument/2006/relationships/hyperlink" Target="https://doi.org/10.1371/journal.pgph.0004888" TargetMode="External"/><Relationship Id="rId11" Type="http://schemas.openxmlformats.org/officeDocument/2006/relationships/image" Target="media/image8.jpg"/><Relationship Id="rId10" Type="http://schemas.openxmlformats.org/officeDocument/2006/relationships/hyperlink" Target="https://pubmed.ncbi.nlm.nih.gov/34454418/" TargetMode="External"/><Relationship Id="rId13" Type="http://schemas.openxmlformats.org/officeDocument/2006/relationships/image" Target="media/image5.jpg"/><Relationship Id="rId12" Type="http://schemas.openxmlformats.org/officeDocument/2006/relationships/image" Target="media/image6.jpg"/><Relationship Id="rId15" Type="http://schemas.openxmlformats.org/officeDocument/2006/relationships/image" Target="media/image1.jpg"/><Relationship Id="rId14" Type="http://schemas.openxmlformats.org/officeDocument/2006/relationships/image" Target="media/image9.jpg"/><Relationship Id="rId17" Type="http://schemas.openxmlformats.org/officeDocument/2006/relationships/image" Target="media/image3.jpg"/><Relationship Id="rId16" Type="http://schemas.openxmlformats.org/officeDocument/2006/relationships/image" Target="media/image12.jpg"/><Relationship Id="rId19" Type="http://schemas.openxmlformats.org/officeDocument/2006/relationships/image" Target="media/image4.jpg"/><Relationship Id="rId18" Type="http://schemas.openxmlformats.org/officeDocument/2006/relationships/image" Target="media/image7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6ZaNNB+Rlyqel6p150DtmFp/eQ==">CgMxLjAyDmgua3I5ZzFpMXUyZ3llMg5oLjVmNDVwdTh1aXRkbDIOaC5kdWo1MHB2OWQwZDgyDmguMnBkcWx3cmp3b3ZoMg5oLnF4YWdyZ3g2YnBsajgAciExWXNXNkpmbmgxeDFoWjVUdnhSMjAyS2hjZTJjSmx0RnY=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2025-12-24T09:10:00Z</dcterms:created>
  <dc:creator>THINKPAD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2F1498F49B9E4585A60AD69224253D68_13</vt:lpwstr>
  </property>
</Properties>
</file>