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CB40" w14:textId="04066EBE" w:rsidR="00B64A6B" w:rsidRDefault="00B64A6B" w:rsidP="00B64A6B">
      <w:r>
        <w:t>Lab #</w:t>
      </w:r>
      <w:r w:rsidR="007D4284">
        <w:t>7</w:t>
      </w:r>
      <w:r>
        <w:t>:</w:t>
      </w:r>
    </w:p>
    <w:p w14:paraId="63462C82" w14:textId="2360E431" w:rsidR="00DA243B" w:rsidRDefault="00DA243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Dates: Last day of class.  </w:t>
      </w:r>
      <w:r>
        <w:rPr>
          <w:rFonts w:cs="Arial"/>
          <w:b/>
          <w:bCs/>
          <w:sz w:val="24"/>
          <w:szCs w:val="24"/>
        </w:rPr>
        <w:t>May 3</w:t>
      </w:r>
      <w:r w:rsidRPr="00DA243B">
        <w:rPr>
          <w:rFonts w:cs="Arial"/>
          <w:b/>
          <w:bCs/>
          <w:sz w:val="24"/>
          <w:szCs w:val="24"/>
          <w:vertAlign w:val="superscript"/>
        </w:rPr>
        <w:t>rd</w:t>
      </w:r>
      <w:r>
        <w:rPr>
          <w:rFonts w:cs="Arial"/>
          <w:b/>
          <w:bCs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 This lab</w:t>
      </w:r>
      <w:r w:rsidR="0076560F">
        <w:rPr>
          <w:rFonts w:cs="Arial"/>
          <w:sz w:val="24"/>
          <w:szCs w:val="24"/>
        </w:rPr>
        <w:t xml:space="preserve"> (#7)</w:t>
      </w:r>
      <w:r>
        <w:rPr>
          <w:rFonts w:cs="Arial"/>
          <w:sz w:val="24"/>
          <w:szCs w:val="24"/>
        </w:rPr>
        <w:t xml:space="preserve"> is due</w:t>
      </w:r>
      <w:r w:rsidR="00932CF6">
        <w:rPr>
          <w:rFonts w:cs="Arial"/>
          <w:sz w:val="24"/>
          <w:szCs w:val="24"/>
        </w:rPr>
        <w:t>.</w:t>
      </w:r>
    </w:p>
    <w:p w14:paraId="42B20FB0" w14:textId="11EAE25C" w:rsidR="00DA243B" w:rsidRDefault="00DA243B" w:rsidP="00B64A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="Arial"/>
          <w:sz w:val="24"/>
          <w:szCs w:val="24"/>
        </w:rPr>
        <w:t xml:space="preserve">Final exam.  </w:t>
      </w:r>
      <w:r>
        <w:rPr>
          <w:rFonts w:cs="Arial"/>
          <w:b/>
          <w:bCs/>
          <w:sz w:val="24"/>
          <w:szCs w:val="24"/>
        </w:rPr>
        <w:t>May 12</w:t>
      </w:r>
      <w:r w:rsidRPr="00DA243B">
        <w:rPr>
          <w:rFonts w:cs="Arial"/>
          <w:b/>
          <w:bCs/>
          <w:sz w:val="24"/>
          <w:szCs w:val="24"/>
          <w:vertAlign w:val="superscript"/>
        </w:rPr>
        <w:t>th</w:t>
      </w:r>
      <w:r w:rsidR="004F2FEB">
        <w:rPr>
          <w:rFonts w:cs="Arial"/>
          <w:b/>
          <w:bCs/>
          <w:sz w:val="24"/>
          <w:szCs w:val="24"/>
        </w:rPr>
        <w:t xml:space="preserve">; </w:t>
      </w:r>
      <w:r w:rsidR="004F2FEB">
        <w:rPr>
          <w:rFonts w:ascii="Arial" w:hAnsi="Arial" w:cs="Arial"/>
          <w:color w:val="222222"/>
          <w:shd w:val="clear" w:color="auto" w:fill="FFFFFF"/>
        </w:rPr>
        <w:t>Thursday May 12th from 11:00 am to 1:30 pm </w:t>
      </w:r>
      <w:r w:rsidR="004F2FEB">
        <w:rPr>
          <w:rFonts w:ascii="Arial" w:hAnsi="Arial" w:cs="Arial"/>
          <w:color w:val="222222"/>
          <w:shd w:val="clear" w:color="auto" w:fill="FFFFFF"/>
        </w:rPr>
        <w:t>.</w:t>
      </w:r>
      <w:r w:rsidR="0070339C">
        <w:rPr>
          <w:rFonts w:ascii="Arial" w:hAnsi="Arial" w:cs="Arial"/>
          <w:color w:val="222222"/>
          <w:shd w:val="clear" w:color="auto" w:fill="FFFFFF"/>
        </w:rPr>
        <w:t xml:space="preserve">  In the 1</w:t>
      </w:r>
      <w:r w:rsidR="0070339C" w:rsidRPr="0070339C">
        <w:rPr>
          <w:rFonts w:ascii="Arial" w:hAnsi="Arial" w:cs="Arial"/>
          <w:color w:val="222222"/>
          <w:shd w:val="clear" w:color="auto" w:fill="FFFFFF"/>
          <w:vertAlign w:val="superscript"/>
        </w:rPr>
        <w:t>st</w:t>
      </w:r>
      <w:r w:rsidR="0070339C">
        <w:rPr>
          <w:rFonts w:ascii="Arial" w:hAnsi="Arial" w:cs="Arial"/>
          <w:color w:val="222222"/>
          <w:shd w:val="clear" w:color="auto" w:fill="FFFFFF"/>
        </w:rPr>
        <w:t xml:space="preserve"> floor classroom.</w:t>
      </w:r>
      <w:r w:rsidR="00946213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AD6D4A" w:rsidRPr="00AD6D4A">
        <w:rPr>
          <w:rFonts w:ascii="Arial" w:hAnsi="Arial" w:cs="Arial"/>
          <w:color w:val="222222"/>
          <w:shd w:val="clear" w:color="auto" w:fill="FFFFFF"/>
        </w:rPr>
        <w:t>Bioinformatics 104</w:t>
      </w:r>
      <w:r w:rsidR="00AD6D4A">
        <w:rPr>
          <w:rFonts w:ascii="Arial" w:hAnsi="Arial" w:cs="Arial"/>
          <w:color w:val="222222"/>
          <w:shd w:val="clear" w:color="auto" w:fill="FFFFFF"/>
        </w:rPr>
        <w:t>.</w:t>
      </w:r>
    </w:p>
    <w:p w14:paraId="04602865" w14:textId="305EBAC8" w:rsidR="004F2FEB" w:rsidRDefault="004F2FEB" w:rsidP="00B64A6B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Final project also due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May 12</w:t>
      </w:r>
      <w:r w:rsidRPr="004F2FEB"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3D305908" w14:textId="7A447BBA" w:rsidR="00F76227" w:rsidRPr="00F76227" w:rsidRDefault="00F76227" w:rsidP="00B64A6B">
      <w:pPr>
        <w:rPr>
          <w:rFonts w:cs="Arial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You will have the final study guide before lab on April 28</w:t>
      </w:r>
      <w:r w:rsidRPr="00F76227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C870B38" w14:textId="36E7AA23" w:rsidR="00DA243B" w:rsidRDefault="00E94EAA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-------------------------------------------</w:t>
      </w:r>
    </w:p>
    <w:p w14:paraId="04853B1C" w14:textId="4AB18B2E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D02F1E">
        <w:rPr>
          <w:rFonts w:cs="Arial"/>
          <w:sz w:val="24"/>
          <w:szCs w:val="24"/>
        </w:rPr>
        <w:t>.</w:t>
      </w:r>
      <w:r w:rsidR="00B75539">
        <w:rPr>
          <w:rFonts w:cs="Arial"/>
          <w:sz w:val="24"/>
          <w:szCs w:val="24"/>
        </w:rPr>
        <w:t xml:space="preserve">  Please put lab #</w:t>
      </w:r>
      <w:r w:rsidR="00CC6CAE">
        <w:rPr>
          <w:rFonts w:cs="Arial"/>
          <w:sz w:val="24"/>
          <w:szCs w:val="24"/>
        </w:rPr>
        <w:t>7</w:t>
      </w:r>
      <w:r w:rsidR="004216C0">
        <w:rPr>
          <w:rFonts w:cs="Arial"/>
          <w:sz w:val="24"/>
          <w:szCs w:val="24"/>
        </w:rPr>
        <w:t xml:space="preserve"> </w:t>
      </w:r>
      <w:r w:rsidR="00B75539">
        <w:rPr>
          <w:rFonts w:cs="Arial"/>
          <w:sz w:val="24"/>
          <w:szCs w:val="24"/>
        </w:rPr>
        <w:t>in the subject line.</w:t>
      </w:r>
    </w:p>
    <w:p w14:paraId="5D8017DC" w14:textId="77777777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14:paraId="162031DC" w14:textId="77777777" w:rsidR="007D4509" w:rsidRDefault="00E877B9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C257DB7" w14:textId="7C5DA208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(This dat</w:t>
      </w:r>
      <w:r w:rsidR="00D968CE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>set is described, albeit from a different analysis pipeline, in these papers:</w:t>
      </w:r>
    </w:p>
    <w:p w14:paraId="7554C98B" w14:textId="77777777" w:rsidR="007D4509" w:rsidRDefault="00E877B9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14:paraId="50C4C145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14:paraId="273763F0" w14:textId="77777777" w:rsidR="007D4509" w:rsidRDefault="00E877B9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14:paraId="29905458" w14:textId="16D67ECB" w:rsidR="005C500B" w:rsidRDefault="001E3416" w:rsidP="003C3D9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Cage1_10-/-</w:t>
      </w:r>
      <w:r>
        <w:rPr>
          <w:rFonts w:cs="Arial"/>
          <w:sz w:val="24"/>
          <w:szCs w:val="24"/>
        </w:rPr>
        <w:t>“.</w:t>
      </w:r>
    </w:p>
    <w:p w14:paraId="2BAFA858" w14:textId="48DD9F65" w:rsidR="003C3D94" w:rsidRDefault="003C3D94" w:rsidP="003C3D94">
      <w:pPr>
        <w:rPr>
          <w:rFonts w:ascii="Arial" w:hAnsi="Arial" w:cs="Arial"/>
        </w:rPr>
      </w:pPr>
    </w:p>
    <w:p w14:paraId="7938D0E9" w14:textId="03767D57" w:rsidR="003C3D94" w:rsidRDefault="003C3D94" w:rsidP="003C3D9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Download the dataset.  Perform PCA ordination.</w:t>
      </w:r>
      <w:r w:rsidR="00EB777D">
        <w:rPr>
          <w:rFonts w:ascii="Arial" w:hAnsi="Arial" w:cs="Arial"/>
        </w:rPr>
        <w:t xml:space="preserve">  </w:t>
      </w:r>
    </w:p>
    <w:p w14:paraId="3E0DD8A4" w14:textId="79676F7B" w:rsidR="00EB777D" w:rsidRP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(For example:</w:t>
      </w:r>
    </w:p>
    <w:p w14:paraId="343CE86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rm</w:t>
      </w:r>
      <w:r>
        <w:rPr>
          <w:rFonts w:ascii="Courier New" w:hAnsi="Courier New" w:cs="Courier New"/>
          <w:sz w:val="20"/>
          <w:szCs w:val="20"/>
        </w:rPr>
        <w:t>(list=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ls</w:t>
      </w:r>
      <w:r>
        <w:rPr>
          <w:rFonts w:ascii="Courier New" w:hAnsi="Courier New" w:cs="Courier New"/>
          <w:sz w:val="20"/>
          <w:szCs w:val="20"/>
        </w:rPr>
        <w:t>())</w:t>
      </w:r>
    </w:p>
    <w:p w14:paraId="1FAD065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A3883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("C:\\Users\\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afodor</w:t>
      </w:r>
      <w:r>
        <w:rPr>
          <w:rFonts w:ascii="Courier New" w:hAnsi="Courier New" w:cs="Courier New"/>
          <w:sz w:val="20"/>
          <w:szCs w:val="20"/>
        </w:rPr>
        <w:t>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sz w:val="20"/>
          <w:szCs w:val="20"/>
        </w:rPr>
        <w:t>\\afodor.github.io\\classes\\stats2015\\")</w:t>
      </w:r>
    </w:p>
    <w:p w14:paraId="0DB6D6CE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B4ED0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inFileName &lt;- paste("prePostPhylum.txt",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 xml:space="preserve"> ="")</w:t>
      </w:r>
    </w:p>
    <w:p w14:paraId="5BEB615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165D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 &lt;-read.table(inFileName,header=TRUE,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="\t")</w:t>
      </w:r>
    </w:p>
    <w:p w14:paraId="00AE091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numCols &lt;-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(myT)</w:t>
      </w:r>
    </w:p>
    <w:p w14:paraId="2FA03CA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myColClasses &lt;- c(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 xml:space="preserve">("character",4),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("numeric", numCols-4))</w:t>
      </w:r>
    </w:p>
    <w:p w14:paraId="3142D4F1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 &lt;-read.table(inFileName,header=TRUE,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="\t",colClasses=myColClasses)</w:t>
      </w:r>
    </w:p>
    <w:p w14:paraId="6BEFE878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62DA7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myTData&lt;-myT[,5:10]</w:t>
      </w:r>
    </w:p>
    <w:p w14:paraId="0102510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B995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myPCOA &lt;-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princomp</w:t>
      </w:r>
      <w:r>
        <w:rPr>
          <w:rFonts w:ascii="Courier New" w:hAnsi="Courier New" w:cs="Courier New"/>
          <w:sz w:val="20"/>
          <w:szCs w:val="20"/>
        </w:rPr>
        <w:t>(myTData)</w:t>
      </w:r>
    </w:p>
    <w:p w14:paraId="4D23066E" w14:textId="102CC02A" w:rsidR="00EB777D" w:rsidRDefault="00EB777D" w:rsidP="00EB777D">
      <w:pPr>
        <w:ind w:left="360"/>
        <w:rPr>
          <w:rFonts w:ascii="Arial" w:hAnsi="Arial" w:cs="Arial"/>
        </w:rPr>
      </w:pPr>
    </w:p>
    <w:p w14:paraId="1FD4D61D" w14:textId="4ABB9556" w:rsidR="00EB777D" w:rsidRDefault="00170C0D" w:rsidP="00170C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Graph PCA1 vs. PCA2.  Make three versions of the graph.  One colored by genotype,</w:t>
      </w:r>
    </w:p>
    <w:p w14:paraId="195CE7E6" w14:textId="7B9DEF5A" w:rsidR="00170C0D" w:rsidRPr="00170C0D" w:rsidRDefault="00A93117" w:rsidP="00170C0D">
      <w:pPr>
        <w:pStyle w:val="ListParagraph"/>
        <w:ind w:left="90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70C0D">
        <w:rPr>
          <w:rFonts w:ascii="Arial" w:hAnsi="Arial" w:cs="Arial"/>
        </w:rPr>
        <w:t>ne colored by cage and one colored by timepoint (pre-vs-post)</w:t>
      </w:r>
    </w:p>
    <w:p w14:paraId="44C4285F" w14:textId="344D9489" w:rsidR="00EB777D" w:rsidRDefault="00EB777D" w:rsidP="00EB777D">
      <w:pPr>
        <w:ind w:left="360"/>
        <w:rPr>
          <w:rFonts w:ascii="Arial" w:hAnsi="Arial" w:cs="Arial"/>
        </w:rPr>
      </w:pPr>
    </w:p>
    <w:p w14:paraId="1F482550" w14:textId="5889895D" w:rsid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(SEE NEXT PAGE)</w:t>
      </w:r>
    </w:p>
    <w:p w14:paraId="0B8898CD" w14:textId="125A96D7" w:rsidR="00EB777D" w:rsidRDefault="00EB777D" w:rsidP="00EB777D">
      <w:pPr>
        <w:ind w:left="360"/>
        <w:rPr>
          <w:rFonts w:ascii="Arial" w:hAnsi="Arial" w:cs="Arial"/>
        </w:rPr>
      </w:pPr>
    </w:p>
    <w:p w14:paraId="38596995" w14:textId="77777777" w:rsidR="00EB777D" w:rsidRPr="00EB777D" w:rsidRDefault="00EB777D" w:rsidP="00EB777D">
      <w:pPr>
        <w:ind w:left="360"/>
        <w:rPr>
          <w:rFonts w:ascii="Arial" w:hAnsi="Arial" w:cs="Arial"/>
        </w:rPr>
      </w:pPr>
    </w:p>
    <w:p w14:paraId="6550C94B" w14:textId="5A23684D" w:rsidR="003C3D94" w:rsidRDefault="003C3D94" w:rsidP="003C3D94">
      <w:pPr>
        <w:ind w:left="360"/>
        <w:rPr>
          <w:rFonts w:ascii="Arial" w:hAnsi="Arial" w:cs="Arial"/>
        </w:rPr>
      </w:pPr>
    </w:p>
    <w:p w14:paraId="1B65266B" w14:textId="261468C8" w:rsidR="003C3D94" w:rsidRPr="00170C0D" w:rsidRDefault="003C3D94" w:rsidP="00170C0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70C0D">
        <w:rPr>
          <w:rFonts w:ascii="Arial" w:hAnsi="Arial" w:cs="Arial"/>
        </w:rPr>
        <w:t xml:space="preserve">Fill in the following table for </w:t>
      </w:r>
      <w:r w:rsidR="008608E9" w:rsidRPr="00170C0D">
        <w:rPr>
          <w:rFonts w:ascii="Arial" w:hAnsi="Arial" w:cs="Arial"/>
        </w:rPr>
        <w:t xml:space="preserve">p-values testing the null hypothesis for </w:t>
      </w:r>
      <w:r w:rsidRPr="00170C0D">
        <w:rPr>
          <w:rFonts w:ascii="Arial" w:hAnsi="Arial" w:cs="Arial"/>
        </w:rPr>
        <w:t>PCA 1 and 2.  For cage, use a way one-ANOVA.  For genotype and timepoint (“pre” vs “post”) use a t-test</w:t>
      </w:r>
    </w:p>
    <w:p w14:paraId="2EF3D128" w14:textId="77777777" w:rsidR="003C3D94" w:rsidRPr="003C3D94" w:rsidRDefault="003C3D94" w:rsidP="003C3D9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8E9" w14:paraId="5B12E63D" w14:textId="77777777" w:rsidTr="008608E9">
        <w:tc>
          <w:tcPr>
            <w:tcW w:w="3192" w:type="dxa"/>
          </w:tcPr>
          <w:p w14:paraId="421FD394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A04A071" w14:textId="11163105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PCA1 </w:t>
            </w:r>
          </w:p>
        </w:tc>
        <w:tc>
          <w:tcPr>
            <w:tcW w:w="3192" w:type="dxa"/>
          </w:tcPr>
          <w:p w14:paraId="7E8BFA6B" w14:textId="71520518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PCA2</w:t>
            </w:r>
          </w:p>
        </w:tc>
      </w:tr>
      <w:tr w:rsidR="008608E9" w14:paraId="2060E7EF" w14:textId="77777777" w:rsidTr="008608E9">
        <w:tc>
          <w:tcPr>
            <w:tcW w:w="3192" w:type="dxa"/>
          </w:tcPr>
          <w:p w14:paraId="7F17864D" w14:textId="63621121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Cage</w:t>
            </w:r>
          </w:p>
        </w:tc>
        <w:tc>
          <w:tcPr>
            <w:tcW w:w="3192" w:type="dxa"/>
          </w:tcPr>
          <w:p w14:paraId="44883780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8C60956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  <w:tr w:rsidR="008608E9" w14:paraId="5337D910" w14:textId="77777777" w:rsidTr="008608E9">
        <w:tc>
          <w:tcPr>
            <w:tcW w:w="3192" w:type="dxa"/>
          </w:tcPr>
          <w:p w14:paraId="40AE7E70" w14:textId="1AA39D5D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Genotype</w:t>
            </w:r>
          </w:p>
        </w:tc>
        <w:tc>
          <w:tcPr>
            <w:tcW w:w="3192" w:type="dxa"/>
          </w:tcPr>
          <w:p w14:paraId="01355486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5F8573E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  <w:tr w:rsidR="008608E9" w14:paraId="2E5EC36B" w14:textId="77777777" w:rsidTr="008608E9">
        <w:tc>
          <w:tcPr>
            <w:tcW w:w="3192" w:type="dxa"/>
          </w:tcPr>
          <w:p w14:paraId="208F23A4" w14:textId="2561AA34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(pre vs. post)</w:t>
            </w:r>
          </w:p>
        </w:tc>
        <w:tc>
          <w:tcPr>
            <w:tcW w:w="3192" w:type="dxa"/>
          </w:tcPr>
          <w:p w14:paraId="2E57027A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B06C920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</w:tbl>
    <w:p w14:paraId="41E951CC" w14:textId="77777777" w:rsidR="003C3D94" w:rsidRPr="003C3D94" w:rsidRDefault="003C3D94" w:rsidP="003C3D94">
      <w:pPr>
        <w:rPr>
          <w:rFonts w:ascii="Arial" w:hAnsi="Arial" w:cs="Arial"/>
        </w:rPr>
      </w:pPr>
    </w:p>
    <w:p w14:paraId="21008A23" w14:textId="4B6FC665" w:rsidR="005C500B" w:rsidRDefault="006777A5" w:rsidP="005C500B">
      <w:pPr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Which variable seems to be most associated with the first PCA axis?  Which variable is most associated with the second PCA axis?  </w:t>
      </w:r>
      <w:r w:rsidR="0040189E">
        <w:rPr>
          <w:rFonts w:cs="Arial"/>
          <w:sz w:val="24"/>
          <w:szCs w:val="24"/>
        </w:rPr>
        <w:t>Does cage seem to be having an effect on these data?</w:t>
      </w:r>
    </w:p>
    <w:p w14:paraId="1A1AEA15" w14:textId="1592F5DB" w:rsidR="003942F9" w:rsidRDefault="003942F9" w:rsidP="005C500B">
      <w:pPr>
        <w:ind w:firstLine="360"/>
        <w:rPr>
          <w:rFonts w:cs="Arial"/>
          <w:sz w:val="24"/>
          <w:szCs w:val="24"/>
        </w:rPr>
      </w:pPr>
    </w:p>
    <w:p w14:paraId="63DC7FAE" w14:textId="4DD1DBFD" w:rsidR="003942F9" w:rsidRPr="003942F9" w:rsidRDefault="003942F9" w:rsidP="003942F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(4)</w:t>
      </w:r>
      <w:r w:rsidRPr="003942F9">
        <w:rPr>
          <w:rFonts w:cs="Arial"/>
          <w:sz w:val="24"/>
          <w:szCs w:val="24"/>
        </w:rPr>
        <w:t>For the POST timepoints only:</w:t>
      </w:r>
    </w:p>
    <w:p w14:paraId="1D1B1C7E" w14:textId="38FB9DB6" w:rsidR="003942F9" w:rsidRPr="003942F9" w:rsidRDefault="003942F9" w:rsidP="003942F9">
      <w:pPr>
        <w:pStyle w:val="ListParagraph"/>
        <w:numPr>
          <w:ilvl w:val="0"/>
          <w:numId w:val="8"/>
        </w:numPr>
        <w:spacing w:line="254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Pr="003942F9">
        <w:rPr>
          <w:rFonts w:cs="Arial"/>
          <w:sz w:val="24"/>
          <w:szCs w:val="24"/>
        </w:rPr>
        <w:t xml:space="preserve">For each phyla, graph the relative abundance of that phyla vs. cage.  Does there appear to be a cage effect across different phyla?  </w:t>
      </w:r>
    </w:p>
    <w:p w14:paraId="3420BEED" w14:textId="77777777" w:rsidR="003942F9" w:rsidRDefault="003942F9" w:rsidP="003942F9">
      <w:pPr>
        <w:pStyle w:val="ListParagraph"/>
        <w:rPr>
          <w:rFonts w:cs="Arial"/>
          <w:sz w:val="24"/>
          <w:szCs w:val="24"/>
        </w:rPr>
      </w:pPr>
    </w:p>
    <w:p w14:paraId="674969EE" w14:textId="3A458285" w:rsidR="003942F9" w:rsidRPr="003942F9" w:rsidRDefault="003942F9" w:rsidP="003942F9">
      <w:pPr>
        <w:pStyle w:val="ListParagraph"/>
        <w:numPr>
          <w:ilvl w:val="0"/>
          <w:numId w:val="8"/>
        </w:numPr>
        <w:spacing w:line="254" w:lineRule="auto"/>
        <w:rPr>
          <w:rFonts w:cs="Arial"/>
          <w:sz w:val="24"/>
          <w:szCs w:val="24"/>
        </w:rPr>
      </w:pPr>
      <w:r w:rsidRPr="003942F9">
        <w:rPr>
          <w:rFonts w:cs="Arial"/>
          <w:sz w:val="24"/>
          <w:szCs w:val="24"/>
        </w:rPr>
        <w:t>For each phyla build a mixed linear model with genotype as the fixed variable and cage as a random variable.  Report the intraclass correlation coefficient for each phyla.  Are there any phyla that are significantly different for genotype in the mixed model at a 10% false discovery rate?</w:t>
      </w:r>
    </w:p>
    <w:p w14:paraId="0671B584" w14:textId="77777777" w:rsidR="003942F9" w:rsidRDefault="003942F9" w:rsidP="003942F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14:paraId="534D4B90" w14:textId="77777777" w:rsidR="003942F9" w:rsidRDefault="003942F9" w:rsidP="003942F9">
      <w:pPr>
        <w:pStyle w:val="ListParagraph"/>
        <w:numPr>
          <w:ilvl w:val="0"/>
          <w:numId w:val="7"/>
        </w:numPr>
        <w:spacing w:line="254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use par(mfrow=c(3,2)) you can fit all 6 plots for phyla vs. cage on one graph.  You can put the p-values and intraclass correlation coefficient in the “main” text above each graph to make a nice summary figure.</w:t>
      </w:r>
    </w:p>
    <w:p w14:paraId="5758BF82" w14:textId="77777777" w:rsidR="003942F9" w:rsidRDefault="003942F9" w:rsidP="003942F9">
      <w:pPr>
        <w:pStyle w:val="ListParagraph"/>
        <w:numPr>
          <w:ilvl w:val="0"/>
          <w:numId w:val="7"/>
        </w:numPr>
        <w:spacing w:line="254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It can be useful to make a dataframe with just the data you want before building your model.  So if you are looping through columns in a “myT” that you’ve read with read.table and i is your column index..</w:t>
      </w:r>
    </w:p>
    <w:p w14:paraId="02B7C329" w14:textId="77777777" w:rsidR="003942F9" w:rsidRDefault="003942F9" w:rsidP="003942F9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>myT &lt;- myT[myT$time == "POST",]</w:t>
      </w:r>
    </w:p>
    <w:p w14:paraId="5EC6A2B5" w14:textId="77777777" w:rsidR="003942F9" w:rsidRDefault="003942F9" w:rsidP="0039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bug &lt;- myT[,i]</w:t>
      </w:r>
    </w:p>
    <w:p w14:paraId="055CD70C" w14:textId="77777777" w:rsidR="003942F9" w:rsidRDefault="003942F9" w:rsidP="0039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cage &lt;- myT$cage</w:t>
      </w:r>
    </w:p>
    <w:p w14:paraId="55B290F2" w14:textId="77777777" w:rsidR="003942F9" w:rsidRDefault="003942F9" w:rsidP="003942F9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</w:p>
    <w:p w14:paraId="3E6F667C" w14:textId="77777777" w:rsidR="003942F9" w:rsidRDefault="003942F9" w:rsidP="003942F9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 xml:space="preserve">myFrame &lt;- data.frame(bug,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52BB8354" w14:textId="77777777" w:rsidR="003942F9" w:rsidRDefault="003942F9" w:rsidP="003942F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(and then build your models with data=myFrame…)</w:t>
      </w:r>
    </w:p>
    <w:p w14:paraId="7EAA1703" w14:textId="77777777" w:rsidR="003942F9" w:rsidRDefault="003942F9" w:rsidP="003942F9">
      <w:pPr>
        <w:rPr>
          <w:rFonts w:cs="Arial"/>
          <w:sz w:val="24"/>
          <w:szCs w:val="24"/>
        </w:rPr>
      </w:pPr>
    </w:p>
    <w:p w14:paraId="5E41C4B3" w14:textId="77777777" w:rsidR="003942F9" w:rsidRDefault="003942F9" w:rsidP="003942F9">
      <w:pPr>
        <w:rPr>
          <w:rFonts w:cs="Arial"/>
          <w:sz w:val="24"/>
          <w:szCs w:val="24"/>
        </w:rPr>
      </w:pPr>
    </w:p>
    <w:p w14:paraId="1C23F58D" w14:textId="77777777" w:rsidR="003942F9" w:rsidRDefault="003942F9" w:rsidP="003942F9">
      <w:pPr>
        <w:pStyle w:val="ListParagraph"/>
        <w:numPr>
          <w:ilvl w:val="0"/>
          <w:numId w:val="7"/>
        </w:numPr>
        <w:spacing w:line="254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2A8FD2A1" w14:textId="77777777" w:rsidR="003942F9" w:rsidRDefault="003942F9" w:rsidP="003942F9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unclass(summary(M.mixed))$tTable[2,5]</w:t>
      </w:r>
    </w:p>
    <w:p w14:paraId="6A902B00" w14:textId="77777777" w:rsidR="003942F9" w:rsidRDefault="003942F9" w:rsidP="003942F9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the rho(intraclass correlation coefficient) out of a GLS model can be done with:</w:t>
      </w:r>
    </w:p>
    <w:p w14:paraId="37CE87E7" w14:textId="77777777" w:rsidR="003942F9" w:rsidRDefault="003942F9" w:rsidP="003942F9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coef(M.gls$modelStruct[1]$corStruct,unconstrained=FALSE)[[1]]</w:t>
      </w:r>
    </w:p>
    <w:p w14:paraId="094067C9" w14:textId="77777777" w:rsidR="003942F9" w:rsidRDefault="003942F9" w:rsidP="003942F9">
      <w:pPr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06DA4CB6" w14:textId="77777777" w:rsidR="003942F9" w:rsidRDefault="003942F9" w:rsidP="0039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boxplot</w:t>
      </w:r>
      <w:r>
        <w:rPr>
          <w:rFonts w:ascii="Consolas" w:hAnsi="Consolas" w:cs="Consolas"/>
          <w:sz w:val="20"/>
          <w:szCs w:val="20"/>
        </w:rPr>
        <w:t>(myFrame$bug ~myFrame$cage)</w:t>
      </w:r>
    </w:p>
    <w:p w14:paraId="7FBD888D" w14:textId="77777777" w:rsidR="003942F9" w:rsidRDefault="003942F9" w:rsidP="0039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stripchart(bug ~ cage, data = myFrame,vertical = TRUE, pch = 21, add=TRUE</w:t>
      </w:r>
    </w:p>
    <w:p w14:paraId="252C9065" w14:textId="77777777" w:rsidR="003942F9" w:rsidRDefault="003942F9" w:rsidP="0039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C403E" w14:textId="77777777" w:rsidR="003942F9" w:rsidRDefault="003942F9" w:rsidP="003942F9">
      <w:pPr>
        <w:ind w:firstLine="360"/>
        <w:rPr>
          <w:rFonts w:cs="Arial"/>
          <w:sz w:val="24"/>
          <w:szCs w:val="24"/>
        </w:rPr>
      </w:pPr>
    </w:p>
    <w:p w14:paraId="41EE9E50" w14:textId="77777777" w:rsidR="003942F9" w:rsidRPr="00E61484" w:rsidRDefault="003942F9" w:rsidP="005C500B">
      <w:pPr>
        <w:ind w:firstLine="360"/>
        <w:rPr>
          <w:rFonts w:cs="Arial"/>
          <w:sz w:val="24"/>
          <w:szCs w:val="24"/>
        </w:rPr>
      </w:pPr>
    </w:p>
    <w:sectPr w:rsidR="003942F9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033E" w14:textId="77777777" w:rsidR="00E877B9" w:rsidRDefault="00E877B9" w:rsidP="00192C39">
      <w:pPr>
        <w:spacing w:after="0" w:line="240" w:lineRule="auto"/>
      </w:pPr>
      <w:r>
        <w:separator/>
      </w:r>
    </w:p>
  </w:endnote>
  <w:endnote w:type="continuationSeparator" w:id="0">
    <w:p w14:paraId="24DDB75A" w14:textId="77777777" w:rsidR="00E877B9" w:rsidRDefault="00E877B9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9579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92A82F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1251" w14:textId="77777777" w:rsidR="00E877B9" w:rsidRDefault="00E877B9" w:rsidP="00192C39">
      <w:pPr>
        <w:spacing w:after="0" w:line="240" w:lineRule="auto"/>
      </w:pPr>
      <w:r>
        <w:separator/>
      </w:r>
    </w:p>
  </w:footnote>
  <w:footnote w:type="continuationSeparator" w:id="0">
    <w:p w14:paraId="7C8C0B4D" w14:textId="77777777" w:rsidR="00E877B9" w:rsidRDefault="00E877B9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883"/>
    <w:multiLevelType w:val="hybridMultilevel"/>
    <w:tmpl w:val="3000BFE8"/>
    <w:lvl w:ilvl="0" w:tplc="24D452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71B3"/>
    <w:multiLevelType w:val="hybridMultilevel"/>
    <w:tmpl w:val="72D4BBC8"/>
    <w:lvl w:ilvl="0" w:tplc="357AD48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99512">
    <w:abstractNumId w:val="3"/>
  </w:num>
  <w:num w:numId="2" w16cid:durableId="330837133">
    <w:abstractNumId w:val="5"/>
  </w:num>
  <w:num w:numId="3" w16cid:durableId="2039502425">
    <w:abstractNumId w:val="2"/>
  </w:num>
  <w:num w:numId="4" w16cid:durableId="1640301431">
    <w:abstractNumId w:val="1"/>
  </w:num>
  <w:num w:numId="5" w16cid:durableId="1860315097">
    <w:abstractNumId w:val="4"/>
  </w:num>
  <w:num w:numId="6" w16cid:durableId="9972713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54993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650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65794"/>
    <w:rsid w:val="000A2488"/>
    <w:rsid w:val="000C1C8F"/>
    <w:rsid w:val="000C3C97"/>
    <w:rsid w:val="000F09B8"/>
    <w:rsid w:val="00170C0D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D6D4D"/>
    <w:rsid w:val="002F4EE1"/>
    <w:rsid w:val="0030163B"/>
    <w:rsid w:val="00314873"/>
    <w:rsid w:val="00333DE2"/>
    <w:rsid w:val="00333E48"/>
    <w:rsid w:val="00373849"/>
    <w:rsid w:val="003942F9"/>
    <w:rsid w:val="003C3D94"/>
    <w:rsid w:val="003F3D57"/>
    <w:rsid w:val="0040189E"/>
    <w:rsid w:val="004216C0"/>
    <w:rsid w:val="0045034B"/>
    <w:rsid w:val="004543C9"/>
    <w:rsid w:val="004C4D18"/>
    <w:rsid w:val="004D2DDC"/>
    <w:rsid w:val="004D72A9"/>
    <w:rsid w:val="004E4B9D"/>
    <w:rsid w:val="004F2FEB"/>
    <w:rsid w:val="00503512"/>
    <w:rsid w:val="005062E7"/>
    <w:rsid w:val="00523231"/>
    <w:rsid w:val="00560306"/>
    <w:rsid w:val="00574F80"/>
    <w:rsid w:val="005964C2"/>
    <w:rsid w:val="005C500B"/>
    <w:rsid w:val="006004C1"/>
    <w:rsid w:val="00602D54"/>
    <w:rsid w:val="0061587B"/>
    <w:rsid w:val="00650BDB"/>
    <w:rsid w:val="006777A5"/>
    <w:rsid w:val="00682BF9"/>
    <w:rsid w:val="0070339C"/>
    <w:rsid w:val="00725344"/>
    <w:rsid w:val="0076560F"/>
    <w:rsid w:val="007D25BF"/>
    <w:rsid w:val="007D4284"/>
    <w:rsid w:val="007D4509"/>
    <w:rsid w:val="00801EF2"/>
    <w:rsid w:val="00810A55"/>
    <w:rsid w:val="00842FA5"/>
    <w:rsid w:val="008608E9"/>
    <w:rsid w:val="00890756"/>
    <w:rsid w:val="008B060E"/>
    <w:rsid w:val="008E416B"/>
    <w:rsid w:val="00932CF6"/>
    <w:rsid w:val="0093512E"/>
    <w:rsid w:val="00946213"/>
    <w:rsid w:val="0096447E"/>
    <w:rsid w:val="009A213F"/>
    <w:rsid w:val="009D3A79"/>
    <w:rsid w:val="009D4D95"/>
    <w:rsid w:val="009E5403"/>
    <w:rsid w:val="009F0E57"/>
    <w:rsid w:val="00A47BD2"/>
    <w:rsid w:val="00A72BD4"/>
    <w:rsid w:val="00A75B38"/>
    <w:rsid w:val="00A93117"/>
    <w:rsid w:val="00AC0F96"/>
    <w:rsid w:val="00AD23E9"/>
    <w:rsid w:val="00AD6D4A"/>
    <w:rsid w:val="00AE7A44"/>
    <w:rsid w:val="00AF13A5"/>
    <w:rsid w:val="00AF6292"/>
    <w:rsid w:val="00B2221C"/>
    <w:rsid w:val="00B34491"/>
    <w:rsid w:val="00B64A6B"/>
    <w:rsid w:val="00B7038B"/>
    <w:rsid w:val="00B75539"/>
    <w:rsid w:val="00B90169"/>
    <w:rsid w:val="00BA406C"/>
    <w:rsid w:val="00BC0E87"/>
    <w:rsid w:val="00BC7201"/>
    <w:rsid w:val="00BE1C32"/>
    <w:rsid w:val="00C37889"/>
    <w:rsid w:val="00CC6CAE"/>
    <w:rsid w:val="00CE7F34"/>
    <w:rsid w:val="00CF71F1"/>
    <w:rsid w:val="00D02F1E"/>
    <w:rsid w:val="00D046AD"/>
    <w:rsid w:val="00D17474"/>
    <w:rsid w:val="00D25CDB"/>
    <w:rsid w:val="00D3485E"/>
    <w:rsid w:val="00D83BB0"/>
    <w:rsid w:val="00D968CE"/>
    <w:rsid w:val="00DA243B"/>
    <w:rsid w:val="00DA2E27"/>
    <w:rsid w:val="00DA66CC"/>
    <w:rsid w:val="00DB774A"/>
    <w:rsid w:val="00DD09F0"/>
    <w:rsid w:val="00E057DC"/>
    <w:rsid w:val="00E20EEC"/>
    <w:rsid w:val="00E22496"/>
    <w:rsid w:val="00E23BC2"/>
    <w:rsid w:val="00E61484"/>
    <w:rsid w:val="00E62A57"/>
    <w:rsid w:val="00E877B9"/>
    <w:rsid w:val="00E94EAA"/>
    <w:rsid w:val="00EB777D"/>
    <w:rsid w:val="00F25436"/>
    <w:rsid w:val="00F27B60"/>
    <w:rsid w:val="00F63A1D"/>
    <w:rsid w:val="00F76227"/>
    <w:rsid w:val="00F86864"/>
    <w:rsid w:val="00F86BAC"/>
    <w:rsid w:val="00FB2369"/>
    <w:rsid w:val="00FB3961"/>
    <w:rsid w:val="00FB3F53"/>
    <w:rsid w:val="00FC1E2E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97C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  <w:style w:type="table" w:styleId="TableGrid">
    <w:name w:val="Table Grid"/>
    <w:basedOn w:val="TableNormal"/>
    <w:uiPriority w:val="59"/>
    <w:rsid w:val="0086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470BE-B982-467F-80E5-828EE584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109</cp:revision>
  <dcterms:created xsi:type="dcterms:W3CDTF">2015-03-24T18:45:00Z</dcterms:created>
  <dcterms:modified xsi:type="dcterms:W3CDTF">2022-04-21T00:23:00Z</dcterms:modified>
</cp:coreProperties>
</file>