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79EAF" w14:textId="77777777" w:rsidR="00503CEC" w:rsidRDefault="00503CEC">
      <w:pPr>
        <w:spacing w:before="1200"/>
      </w:pPr>
    </w:p>
    <w:p w14:paraId="107F7359" w14:textId="77777777" w:rsidR="00503CEC" w:rsidRDefault="00000000">
      <w:pPr>
        <w:jc w:val="center"/>
      </w:pPr>
      <w:r>
        <w:rPr>
          <w:b/>
          <w:bCs/>
          <w:color w:val="2C5F8A"/>
          <w:sz w:val="56"/>
          <w:szCs w:val="56"/>
        </w:rPr>
        <w:t>MERCHANT CHURN &amp;</w:t>
      </w:r>
    </w:p>
    <w:p w14:paraId="0478D3A9" w14:textId="77777777" w:rsidR="00503CEC" w:rsidRDefault="00000000">
      <w:pPr>
        <w:jc w:val="center"/>
      </w:pPr>
      <w:r>
        <w:rPr>
          <w:b/>
          <w:bCs/>
          <w:color w:val="2C5F8A"/>
          <w:sz w:val="56"/>
          <w:szCs w:val="56"/>
        </w:rPr>
        <w:t>RETENTION ANALYSIS</w:t>
      </w:r>
    </w:p>
    <w:p w14:paraId="2A5CA1F5" w14:textId="77777777" w:rsidR="00503CEC" w:rsidRDefault="00503CEC">
      <w:pPr>
        <w:spacing w:before="80"/>
      </w:pPr>
    </w:p>
    <w:p w14:paraId="3EBE0A3F" w14:textId="77777777" w:rsidR="00503CEC" w:rsidRDefault="00000000">
      <w:pPr>
        <w:pBdr>
          <w:bottom w:val="single" w:sz="6" w:space="1" w:color="D6E4F0"/>
        </w:pBdr>
        <w:jc w:val="center"/>
      </w:pPr>
      <w:r>
        <w:rPr>
          <w:i/>
          <w:iCs/>
          <w:color w:val="555555"/>
          <w:sz w:val="28"/>
          <w:szCs w:val="28"/>
        </w:rPr>
        <w:t>Power BI Dashboard Report</w:t>
      </w:r>
    </w:p>
    <w:p w14:paraId="1B9BEF5A" w14:textId="77777777" w:rsidR="00503CEC" w:rsidRDefault="00503CEC">
      <w:pPr>
        <w:spacing w:before="400"/>
      </w:pPr>
    </w:p>
    <w:p w14:paraId="483A08B7" w14:textId="77777777" w:rsidR="00503CEC" w:rsidRDefault="00000000">
      <w:pPr>
        <w:jc w:val="center"/>
      </w:pPr>
      <w:r>
        <w:rPr>
          <w:color w:val="555555"/>
        </w:rPr>
        <w:t>Understanding why and when merchants stop doing business,</w:t>
      </w:r>
    </w:p>
    <w:p w14:paraId="756D3715" w14:textId="77777777" w:rsidR="00503CEC" w:rsidRDefault="00000000">
      <w:pPr>
        <w:jc w:val="center"/>
      </w:pPr>
      <w:r>
        <w:rPr>
          <w:color w:val="555555"/>
        </w:rPr>
        <w:t>and how to improve merchant retention.</w:t>
      </w:r>
    </w:p>
    <w:p w14:paraId="79E72254" w14:textId="77777777" w:rsidR="00503CEC" w:rsidRDefault="00503CEC">
      <w:pPr>
        <w:spacing w:before="600"/>
      </w:pPr>
    </w:p>
    <w:p w14:paraId="331CDA8A" w14:textId="495FD62D" w:rsidR="00503CEC" w:rsidRDefault="00503CEC">
      <w:pPr>
        <w:jc w:val="center"/>
      </w:pPr>
    </w:p>
    <w:p w14:paraId="74F8BADE" w14:textId="77777777" w:rsidR="00503CEC" w:rsidRDefault="00000000">
      <w:r>
        <w:br w:type="page"/>
      </w:r>
    </w:p>
    <w:p w14:paraId="0525D595" w14:textId="77777777" w:rsidR="00503CEC" w:rsidRDefault="00000000">
      <w:pPr>
        <w:pStyle w:val="Heading1"/>
      </w:pPr>
      <w:r>
        <w:lastRenderedPageBreak/>
        <w:t>Executive Summary</w:t>
      </w:r>
    </w:p>
    <w:p w14:paraId="177F5D38" w14:textId="77777777" w:rsidR="00503CEC" w:rsidRDefault="00503CEC">
      <w:pPr>
        <w:pBdr>
          <w:bottom w:val="single" w:sz="4" w:space="1" w:color="D6E4F0"/>
        </w:pBdr>
        <w:spacing w:before="160" w:after="160"/>
      </w:pPr>
    </w:p>
    <w:p w14:paraId="71EE3E31" w14:textId="3C3505CF" w:rsidR="00503CEC" w:rsidRDefault="00000000" w:rsidP="00D422CE">
      <w:pPr>
        <w:spacing w:before="80" w:after="80"/>
        <w:jc w:val="both"/>
      </w:pPr>
      <w:r>
        <w:rPr>
          <w:color w:val="555555"/>
        </w:rPr>
        <w:t>This report presents a comprehensive Power BI dashboard analyzing merchant churn and retention across a multi-year transaction dataset. The analysis spans 5,881 merchants across multiple countries from January 2010 to December 2011.</w:t>
      </w:r>
    </w:p>
    <w:p w14:paraId="5BD4BFCE" w14:textId="77777777" w:rsidR="00503CEC" w:rsidRDefault="00000000" w:rsidP="00D422CE">
      <w:pPr>
        <w:spacing w:before="80" w:after="80"/>
        <w:jc w:val="both"/>
      </w:pPr>
      <w:r>
        <w:rPr>
          <w:color w:val="555555"/>
        </w:rPr>
        <w:t>The most critical finding is a 50.79% churn rate, meaning more than half of all merchants have stopped transacting. Despite this, the business shows strong revenue concentration in the United Kingdom and clear signs of improving retention in late 2011 cohorts, suggesting that retention strategies implemented during that period had a measurable positive effect.</w:t>
      </w:r>
    </w:p>
    <w:p w14:paraId="0BCF3228" w14:textId="77777777" w:rsidR="00503CEC" w:rsidRDefault="00503CEC">
      <w:pPr>
        <w:spacing w:before="100"/>
      </w:pPr>
    </w:p>
    <w:p w14:paraId="26C3E6B9" w14:textId="75553AF2" w:rsidR="00503CEC" w:rsidRDefault="00000000">
      <w:pPr>
        <w:spacing w:before="80" w:after="80"/>
      </w:pPr>
      <w:r>
        <w:rPr>
          <w:b/>
          <w:bCs/>
          <w:color w:val="1A1A2E"/>
        </w:rPr>
        <w:t xml:space="preserve">Key metrics </w:t>
      </w:r>
      <w:r w:rsidR="00E53F50">
        <w:rPr>
          <w:b/>
          <w:bCs/>
          <w:color w:val="1A1A2E"/>
        </w:rPr>
        <w:t>briefly</w:t>
      </w:r>
      <w:r>
        <w:rPr>
          <w:b/>
          <w:bCs/>
          <w:color w:val="1A1A2E"/>
        </w:rPr>
        <w:t>:</w:t>
      </w:r>
    </w:p>
    <w:p w14:paraId="447717E8" w14:textId="77777777" w:rsidR="00503CEC" w:rsidRDefault="00503C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03CEC" w14:paraId="284DFCE8"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27DCEAD0" w14:textId="77777777" w:rsidR="00503CEC" w:rsidRDefault="00000000">
            <w:pPr>
              <w:jc w:val="center"/>
            </w:pPr>
            <w:r>
              <w:rPr>
                <w:b/>
                <w:bCs/>
                <w:color w:val="2C5F8A"/>
                <w:sz w:val="36"/>
                <w:szCs w:val="36"/>
              </w:rPr>
              <w:t>5,881</w:t>
            </w:r>
          </w:p>
          <w:p w14:paraId="6128E4A2" w14:textId="77777777" w:rsidR="00503CEC" w:rsidRDefault="00000000">
            <w:pPr>
              <w:jc w:val="center"/>
            </w:pPr>
            <w:r>
              <w:rPr>
                <w:color w:val="555555"/>
                <w:sz w:val="18"/>
                <w:szCs w:val="18"/>
              </w:rPr>
              <w:t>Total Merchants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78D80818" w14:textId="77777777" w:rsidR="00503CEC" w:rsidRDefault="00000000">
            <w:pPr>
              <w:jc w:val="center"/>
            </w:pPr>
            <w:r>
              <w:rPr>
                <w:b/>
                <w:bCs/>
                <w:color w:val="2C5F8A"/>
                <w:sz w:val="36"/>
                <w:szCs w:val="36"/>
              </w:rPr>
              <w:t>50.79%</w:t>
            </w:r>
          </w:p>
          <w:p w14:paraId="12BB7A7B" w14:textId="77777777" w:rsidR="00503CEC" w:rsidRDefault="00000000">
            <w:pPr>
              <w:jc w:val="center"/>
            </w:pPr>
            <w:r>
              <w:rPr>
                <w:color w:val="555555"/>
                <w:sz w:val="18"/>
                <w:szCs w:val="18"/>
              </w:rPr>
              <w:t>Churn Rate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3D567A9B" w14:textId="77777777" w:rsidR="00503CEC" w:rsidRDefault="00000000">
            <w:pPr>
              <w:jc w:val="center"/>
            </w:pPr>
            <w:r>
              <w:rPr>
                <w:b/>
                <w:bCs/>
                <w:color w:val="2C5F8A"/>
                <w:sz w:val="36"/>
                <w:szCs w:val="36"/>
              </w:rPr>
              <w:t>49.21%</w:t>
            </w:r>
          </w:p>
          <w:p w14:paraId="39AA4F72" w14:textId="77777777" w:rsidR="00503CEC" w:rsidRDefault="00000000">
            <w:pPr>
              <w:jc w:val="center"/>
            </w:pPr>
            <w:r>
              <w:rPr>
                <w:color w:val="555555"/>
                <w:sz w:val="18"/>
                <w:szCs w:val="18"/>
              </w:rPr>
              <w:t>Retention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55B698A9" w14:textId="77777777" w:rsidR="00503CEC" w:rsidRDefault="00000000">
            <w:pPr>
              <w:jc w:val="center"/>
            </w:pPr>
            <w:r>
              <w:rPr>
                <w:b/>
                <w:bCs/>
                <w:color w:val="2C5F8A"/>
                <w:sz w:val="36"/>
                <w:szCs w:val="36"/>
              </w:rPr>
              <w:t>9.1</w:t>
            </w:r>
          </w:p>
          <w:p w14:paraId="590B79D6" w14:textId="77777777" w:rsidR="00503CEC" w:rsidRDefault="00000000">
            <w:pPr>
              <w:jc w:val="center"/>
            </w:pPr>
            <w:r>
              <w:rPr>
                <w:color w:val="555555"/>
                <w:sz w:val="18"/>
                <w:szCs w:val="18"/>
              </w:rPr>
              <w:t>Avg Tenure (Months)</w:t>
            </w:r>
          </w:p>
        </w:tc>
      </w:tr>
    </w:tbl>
    <w:p w14:paraId="52EC14EA" w14:textId="77777777" w:rsidR="00503CEC" w:rsidRDefault="00503CEC">
      <w:pPr>
        <w:spacing w:before="160"/>
      </w:pPr>
    </w:p>
    <w:p w14:paraId="1EEB01B7" w14:textId="77777777" w:rsidR="00E53F50" w:rsidRDefault="00000000">
      <w:pPr>
        <w:spacing w:before="80" w:after="80"/>
        <w:rPr>
          <w:color w:val="555555"/>
        </w:rPr>
      </w:pPr>
      <w:r>
        <w:rPr>
          <w:color w:val="555555"/>
        </w:rPr>
        <w:t xml:space="preserve">Three immediate actions are recommended: </w:t>
      </w:r>
    </w:p>
    <w:p w14:paraId="7515185A" w14:textId="1BAB966F" w:rsidR="00E53F50" w:rsidRDefault="00000000">
      <w:pPr>
        <w:spacing w:before="80" w:after="80"/>
        <w:rPr>
          <w:color w:val="555555"/>
        </w:rPr>
      </w:pPr>
      <w:r>
        <w:rPr>
          <w:color w:val="555555"/>
        </w:rPr>
        <w:t xml:space="preserve">(1) </w:t>
      </w:r>
      <w:r w:rsidR="00E53F50">
        <w:rPr>
          <w:color w:val="555555"/>
        </w:rPr>
        <w:t>Focus</w:t>
      </w:r>
      <w:r>
        <w:rPr>
          <w:color w:val="555555"/>
        </w:rPr>
        <w:t xml:space="preserve"> re-engagement on merchants in their first 3 months, where churn risk is highest</w:t>
      </w:r>
      <w:r w:rsidR="00E53F50">
        <w:rPr>
          <w:color w:val="555555"/>
        </w:rPr>
        <w:t>.</w:t>
      </w:r>
    </w:p>
    <w:p w14:paraId="6FF62386" w14:textId="1A6DCFFD" w:rsidR="00E53F50" w:rsidRDefault="00000000">
      <w:pPr>
        <w:spacing w:before="80" w:after="80"/>
        <w:rPr>
          <w:color w:val="555555"/>
        </w:rPr>
      </w:pPr>
      <w:r>
        <w:rPr>
          <w:color w:val="555555"/>
        </w:rPr>
        <w:t xml:space="preserve">(2) </w:t>
      </w:r>
      <w:r w:rsidR="00E53F50">
        <w:rPr>
          <w:color w:val="555555"/>
        </w:rPr>
        <w:t>Launch</w:t>
      </w:r>
      <w:r>
        <w:rPr>
          <w:color w:val="555555"/>
        </w:rPr>
        <w:t xml:space="preserve"> a win-back campaign targeting high-spend churned merchants</w:t>
      </w:r>
      <w:r w:rsidR="00E53F50">
        <w:rPr>
          <w:color w:val="555555"/>
        </w:rPr>
        <w:t>.</w:t>
      </w:r>
    </w:p>
    <w:p w14:paraId="45EB3D88" w14:textId="4767B0CA" w:rsidR="00503CEC" w:rsidRDefault="00000000">
      <w:pPr>
        <w:spacing w:before="80" w:after="80"/>
      </w:pPr>
      <w:r>
        <w:rPr>
          <w:color w:val="555555"/>
        </w:rPr>
        <w:t>(3) replicate the onboarding practices used in late 2011, which produced dramatically higher retention rates.</w:t>
      </w:r>
    </w:p>
    <w:p w14:paraId="6CA47327" w14:textId="77777777" w:rsidR="00503CEC" w:rsidRDefault="00000000">
      <w:r>
        <w:br w:type="page"/>
      </w:r>
    </w:p>
    <w:p w14:paraId="7BE29CD2" w14:textId="77777777" w:rsidR="00503CEC" w:rsidRDefault="00000000">
      <w:pPr>
        <w:pStyle w:val="Heading1"/>
      </w:pPr>
      <w:r>
        <w:lastRenderedPageBreak/>
        <w:t>Project Overview &amp; Objectives</w:t>
      </w:r>
    </w:p>
    <w:p w14:paraId="3FA715A8" w14:textId="77777777" w:rsidR="00503CEC" w:rsidRDefault="00503CEC">
      <w:pPr>
        <w:pBdr>
          <w:bottom w:val="single" w:sz="4" w:space="1" w:color="D6E4F0"/>
        </w:pBdr>
        <w:spacing w:before="160" w:after="160"/>
      </w:pPr>
    </w:p>
    <w:p w14:paraId="07F6A121" w14:textId="77777777" w:rsidR="00503CEC" w:rsidRDefault="00000000">
      <w:pPr>
        <w:pStyle w:val="Heading2"/>
      </w:pPr>
      <w:r>
        <w:t>Background</w:t>
      </w:r>
    </w:p>
    <w:p w14:paraId="1B903353" w14:textId="643B7E9A" w:rsidR="00503CEC" w:rsidRDefault="00000000" w:rsidP="00D422CE">
      <w:pPr>
        <w:spacing w:before="80" w:after="80"/>
        <w:jc w:val="both"/>
      </w:pPr>
      <w:r>
        <w:rPr>
          <w:color w:val="555555"/>
        </w:rPr>
        <w:t xml:space="preserve">Merchant churn — the loss of business customers who stop transacting — is one of the </w:t>
      </w:r>
      <w:r w:rsidR="00E53F50">
        <w:rPr>
          <w:color w:val="555555"/>
        </w:rPr>
        <w:t>costliest</w:t>
      </w:r>
      <w:r>
        <w:rPr>
          <w:color w:val="555555"/>
        </w:rPr>
        <w:t xml:space="preserve"> challenges in B2B commerce. Acquiring a new merchant is significantly more expensive than retaining an existing one. Understanding the patterns, timing, and drivers of churn is therefore essential for sustainable business growth.</w:t>
      </w:r>
    </w:p>
    <w:p w14:paraId="060DC3CF" w14:textId="77777777" w:rsidR="00503CEC" w:rsidRDefault="00503CEC">
      <w:pPr>
        <w:spacing w:before="100"/>
      </w:pPr>
    </w:p>
    <w:p w14:paraId="591D88B5" w14:textId="77777777" w:rsidR="00503CEC" w:rsidRDefault="00000000">
      <w:pPr>
        <w:pStyle w:val="Heading2"/>
      </w:pPr>
      <w:r>
        <w:t>Objectives</w:t>
      </w:r>
    </w:p>
    <w:p w14:paraId="249B9CE0" w14:textId="5974B488" w:rsidR="00503CEC" w:rsidRDefault="00000000" w:rsidP="00E53F50">
      <w:pPr>
        <w:spacing w:before="80" w:after="80"/>
      </w:pPr>
      <w:r>
        <w:rPr>
          <w:color w:val="555555"/>
        </w:rPr>
        <w:t>This project was designed to answer the following business questions:</w:t>
      </w:r>
    </w:p>
    <w:p w14:paraId="00DE0F20" w14:textId="77777777" w:rsidR="00503CEC" w:rsidRDefault="00000000">
      <w:pPr>
        <w:pStyle w:val="ListParagraph"/>
        <w:numPr>
          <w:ilvl w:val="0"/>
          <w:numId w:val="2"/>
        </w:numPr>
        <w:spacing w:before="60" w:after="60"/>
      </w:pPr>
      <w:r>
        <w:rPr>
          <w:color w:val="555555"/>
        </w:rPr>
        <w:t>What is the overall churn rate and how has it changed over time?</w:t>
      </w:r>
    </w:p>
    <w:p w14:paraId="61F6F89E" w14:textId="77777777" w:rsidR="00503CEC" w:rsidRDefault="00000000">
      <w:pPr>
        <w:pStyle w:val="ListParagraph"/>
        <w:numPr>
          <w:ilvl w:val="0"/>
          <w:numId w:val="2"/>
        </w:numPr>
        <w:spacing w:before="60" w:after="60"/>
      </w:pPr>
      <w:r>
        <w:rPr>
          <w:color w:val="555555"/>
        </w:rPr>
        <w:t>Which countries have the highest and lowest churn rates?</w:t>
      </w:r>
    </w:p>
    <w:p w14:paraId="5AACB5DE" w14:textId="77777777" w:rsidR="00503CEC" w:rsidRDefault="00000000">
      <w:pPr>
        <w:pStyle w:val="ListParagraph"/>
        <w:numPr>
          <w:ilvl w:val="0"/>
          <w:numId w:val="2"/>
        </w:numPr>
        <w:spacing w:before="60" w:after="60"/>
      </w:pPr>
      <w:r>
        <w:rPr>
          <w:color w:val="555555"/>
        </w:rPr>
        <w:t>Is there a relationship between how long a merchant has been active (tenure) and their likelihood of churning?</w:t>
      </w:r>
    </w:p>
    <w:p w14:paraId="2EC9DD3E" w14:textId="77777777" w:rsidR="00503CEC" w:rsidRDefault="00000000">
      <w:pPr>
        <w:pStyle w:val="ListParagraph"/>
        <w:numPr>
          <w:ilvl w:val="0"/>
          <w:numId w:val="2"/>
        </w:numPr>
        <w:spacing w:before="60" w:after="60"/>
      </w:pPr>
      <w:r>
        <w:rPr>
          <w:color w:val="555555"/>
        </w:rPr>
        <w:t>Which cohorts of merchants (grouped by when they first joined) show the strongest retention?</w:t>
      </w:r>
    </w:p>
    <w:p w14:paraId="113953F7" w14:textId="77777777" w:rsidR="00503CEC" w:rsidRDefault="00000000">
      <w:pPr>
        <w:pStyle w:val="ListParagraph"/>
        <w:numPr>
          <w:ilvl w:val="0"/>
          <w:numId w:val="2"/>
        </w:numPr>
        <w:spacing w:before="60" w:after="60"/>
      </w:pPr>
      <w:r>
        <w:rPr>
          <w:color w:val="555555"/>
        </w:rPr>
        <w:t>Who are the highest-value merchants and are they at risk of churning?</w:t>
      </w:r>
    </w:p>
    <w:p w14:paraId="5F56E64C" w14:textId="77777777" w:rsidR="00503CEC" w:rsidRDefault="00000000">
      <w:pPr>
        <w:pStyle w:val="ListParagraph"/>
        <w:numPr>
          <w:ilvl w:val="0"/>
          <w:numId w:val="2"/>
        </w:numPr>
        <w:spacing w:before="60" w:after="60"/>
      </w:pPr>
      <w:r>
        <w:rPr>
          <w:color w:val="555555"/>
        </w:rPr>
        <w:t>What are the overall business trends in revenue and transaction volume over time?</w:t>
      </w:r>
    </w:p>
    <w:p w14:paraId="23CDDAF6" w14:textId="77777777" w:rsidR="00503CEC" w:rsidRDefault="00503CEC">
      <w:pPr>
        <w:spacing w:before="120"/>
      </w:pPr>
    </w:p>
    <w:p w14:paraId="2B55D1AE" w14:textId="77777777" w:rsidR="00503CEC" w:rsidRDefault="00000000">
      <w:pPr>
        <w:pStyle w:val="Heading2"/>
      </w:pPr>
      <w:r>
        <w:t>Scope</w:t>
      </w:r>
    </w:p>
    <w:p w14:paraId="1659D089" w14:textId="1B486047" w:rsidR="00503CEC" w:rsidRDefault="00000000" w:rsidP="00D422CE">
      <w:pPr>
        <w:spacing w:before="80" w:after="80"/>
        <w:jc w:val="both"/>
      </w:pPr>
      <w:r>
        <w:rPr>
          <w:color w:val="555555"/>
        </w:rPr>
        <w:t>The analysis covers transaction data from December 2009 through December 2011, encompassing 5,881 unique merchants across 40+ countries. The primary focus is on the merchant lifecycle</w:t>
      </w:r>
      <w:r w:rsidR="00E53F50">
        <w:rPr>
          <w:color w:val="555555"/>
        </w:rPr>
        <w:t>,</w:t>
      </w:r>
      <w:r>
        <w:rPr>
          <w:color w:val="555555"/>
        </w:rPr>
        <w:t xml:space="preserve"> from first transaction through potential churn</w:t>
      </w:r>
      <w:r w:rsidR="00E53F50">
        <w:rPr>
          <w:color w:val="555555"/>
        </w:rPr>
        <w:t xml:space="preserve">, </w:t>
      </w:r>
      <w:r>
        <w:rPr>
          <w:color w:val="555555"/>
        </w:rPr>
        <w:t>with secondary analysis on revenue trends and merchant value segmentation.</w:t>
      </w:r>
    </w:p>
    <w:p w14:paraId="0EA1E6D2" w14:textId="77777777" w:rsidR="00503CEC" w:rsidRDefault="00000000">
      <w:r>
        <w:br w:type="page"/>
      </w:r>
    </w:p>
    <w:p w14:paraId="7420D1F7" w14:textId="77777777" w:rsidR="00503CEC" w:rsidRDefault="00000000">
      <w:pPr>
        <w:pStyle w:val="Heading1"/>
      </w:pPr>
      <w:r>
        <w:lastRenderedPageBreak/>
        <w:t>Data Description</w:t>
      </w:r>
    </w:p>
    <w:p w14:paraId="2A23DC1B" w14:textId="77777777" w:rsidR="00503CEC" w:rsidRDefault="00503CEC">
      <w:pPr>
        <w:pBdr>
          <w:bottom w:val="single" w:sz="4" w:space="1" w:color="D6E4F0"/>
        </w:pBdr>
        <w:spacing w:before="160" w:after="160"/>
      </w:pPr>
    </w:p>
    <w:p w14:paraId="3CBFB686" w14:textId="77777777" w:rsidR="00503CEC" w:rsidRDefault="00000000">
      <w:pPr>
        <w:spacing w:before="80" w:after="80"/>
      </w:pPr>
      <w:r>
        <w:rPr>
          <w:color w:val="555555"/>
        </w:rPr>
        <w:t>The analysis is built on four interconnected datasets, each serving a specific analytical purpose:</w:t>
      </w:r>
    </w:p>
    <w:p w14:paraId="21CA0DCB" w14:textId="77777777" w:rsidR="00503CEC" w:rsidRDefault="00503CEC">
      <w:pPr>
        <w:spacing w:before="120"/>
      </w:pPr>
    </w:p>
    <w:p w14:paraId="5F7FF9CA" w14:textId="77777777" w:rsidR="00503CEC" w:rsidRDefault="00000000">
      <w:pPr>
        <w:pStyle w:val="Heading2"/>
      </w:pPr>
      <w:r>
        <w:t>1. merchant_level.csv — Primary Table</w:t>
      </w:r>
    </w:p>
    <w:p w14:paraId="7ED89F3D" w14:textId="47C05F12" w:rsidR="00E53F50" w:rsidRPr="00E53F50" w:rsidRDefault="00000000" w:rsidP="00D422CE">
      <w:pPr>
        <w:spacing w:before="80" w:after="80"/>
        <w:jc w:val="both"/>
        <w:rPr>
          <w:color w:val="555555"/>
        </w:rPr>
      </w:pPr>
      <w:r>
        <w:rPr>
          <w:color w:val="555555"/>
        </w:rPr>
        <w:t>One row per merchant. This is the most important table in the analysis, containing the full lifecycle profile of each merchant including their first and last transaction dates, total spend, transaction count, country, churn status, and tenure. All churn rate, retention, and segmentation metrics are derived from this table.</w:t>
      </w:r>
    </w:p>
    <w:p w14:paraId="1CCBA98C" w14:textId="5030513D" w:rsidR="00503CEC" w:rsidRDefault="00000000" w:rsidP="00D422CE">
      <w:pPr>
        <w:spacing w:before="240" w:after="80"/>
        <w:jc w:val="both"/>
        <w:rPr>
          <w:color w:val="555555"/>
        </w:rPr>
      </w:pPr>
      <w:r>
        <w:rPr>
          <w:color w:val="555555"/>
        </w:rPr>
        <w:t xml:space="preserve">Key columns: </w:t>
      </w:r>
      <w:proofErr w:type="spellStart"/>
      <w:r>
        <w:rPr>
          <w:color w:val="555555"/>
        </w:rPr>
        <w:t>MerchantID</w:t>
      </w:r>
      <w:proofErr w:type="spellEnd"/>
      <w:r>
        <w:rPr>
          <w:color w:val="555555"/>
        </w:rPr>
        <w:t xml:space="preserve">, </w:t>
      </w:r>
      <w:proofErr w:type="spellStart"/>
      <w:r>
        <w:rPr>
          <w:color w:val="555555"/>
        </w:rPr>
        <w:t>Total_Spend</w:t>
      </w:r>
      <w:proofErr w:type="spellEnd"/>
      <w:r>
        <w:rPr>
          <w:color w:val="555555"/>
        </w:rPr>
        <w:t xml:space="preserve">, </w:t>
      </w:r>
      <w:proofErr w:type="spellStart"/>
      <w:r>
        <w:rPr>
          <w:color w:val="555555"/>
        </w:rPr>
        <w:t>Total_Transactions</w:t>
      </w:r>
      <w:proofErr w:type="spellEnd"/>
      <w:r>
        <w:rPr>
          <w:color w:val="555555"/>
        </w:rPr>
        <w:t xml:space="preserve">, Country, </w:t>
      </w:r>
      <w:proofErr w:type="spellStart"/>
      <w:r>
        <w:rPr>
          <w:color w:val="555555"/>
        </w:rPr>
        <w:t>Avg_Order_Value</w:t>
      </w:r>
      <w:proofErr w:type="spellEnd"/>
      <w:r>
        <w:rPr>
          <w:color w:val="555555"/>
        </w:rPr>
        <w:t xml:space="preserve">, </w:t>
      </w:r>
      <w:proofErr w:type="spellStart"/>
      <w:r>
        <w:rPr>
          <w:color w:val="555555"/>
        </w:rPr>
        <w:t>Cohort_Month</w:t>
      </w:r>
      <w:proofErr w:type="spellEnd"/>
      <w:r>
        <w:rPr>
          <w:color w:val="555555"/>
        </w:rPr>
        <w:t xml:space="preserve">, </w:t>
      </w:r>
      <w:proofErr w:type="spellStart"/>
      <w:r>
        <w:rPr>
          <w:color w:val="555555"/>
        </w:rPr>
        <w:t>Tenure_Months</w:t>
      </w:r>
      <w:proofErr w:type="spellEnd"/>
      <w:r>
        <w:rPr>
          <w:color w:val="555555"/>
        </w:rPr>
        <w:t xml:space="preserve">, </w:t>
      </w:r>
      <w:proofErr w:type="spellStart"/>
      <w:r>
        <w:rPr>
          <w:color w:val="555555"/>
        </w:rPr>
        <w:t>Days_Since_Last_Transaction</w:t>
      </w:r>
      <w:proofErr w:type="spellEnd"/>
      <w:r>
        <w:rPr>
          <w:color w:val="555555"/>
        </w:rPr>
        <w:t xml:space="preserve">, </w:t>
      </w:r>
      <w:proofErr w:type="spellStart"/>
      <w:proofErr w:type="gramStart"/>
      <w:r>
        <w:rPr>
          <w:color w:val="555555"/>
        </w:rPr>
        <w:t>Is</w:t>
      </w:r>
      <w:proofErr w:type="gramEnd"/>
      <w:r>
        <w:rPr>
          <w:color w:val="555555"/>
        </w:rPr>
        <w:t>_Active</w:t>
      </w:r>
      <w:proofErr w:type="spellEnd"/>
      <w:r>
        <w:rPr>
          <w:color w:val="555555"/>
        </w:rPr>
        <w:t xml:space="preserve">, </w:t>
      </w:r>
      <w:proofErr w:type="spellStart"/>
      <w:proofErr w:type="gramStart"/>
      <w:r>
        <w:rPr>
          <w:color w:val="555555"/>
        </w:rPr>
        <w:t>Is</w:t>
      </w:r>
      <w:proofErr w:type="gramEnd"/>
      <w:r>
        <w:rPr>
          <w:color w:val="555555"/>
        </w:rPr>
        <w:t>_Churned</w:t>
      </w:r>
      <w:proofErr w:type="spellEnd"/>
      <w:r>
        <w:rPr>
          <w:color w:val="555555"/>
        </w:rPr>
        <w:t>.</w:t>
      </w:r>
    </w:p>
    <w:p w14:paraId="7E3D90CF" w14:textId="77777777" w:rsidR="00E53F50" w:rsidRDefault="00E53F50" w:rsidP="00E53F50">
      <w:pPr>
        <w:spacing w:before="80" w:after="80"/>
      </w:pPr>
    </w:p>
    <w:p w14:paraId="4C3413DC" w14:textId="77777777" w:rsidR="00503CEC" w:rsidRDefault="00000000">
      <w:pPr>
        <w:pStyle w:val="Heading2"/>
      </w:pPr>
      <w:r>
        <w:t>2. transactions_clean.csv — Transaction Level</w:t>
      </w:r>
    </w:p>
    <w:p w14:paraId="3C151EA2" w14:textId="265E8014" w:rsidR="00503CEC" w:rsidRDefault="00000000" w:rsidP="00D422CE">
      <w:pPr>
        <w:spacing w:before="80" w:after="80"/>
        <w:jc w:val="both"/>
      </w:pPr>
      <w:r>
        <w:rPr>
          <w:color w:val="555555"/>
        </w:rPr>
        <w:t>One row per transaction line item. This table provides granular detail on what merchants purchased, when, and at what price. It is used to support time-based trend analysis and detailed behavioral investigation when needed.</w:t>
      </w:r>
    </w:p>
    <w:p w14:paraId="1144FDB4" w14:textId="77777777" w:rsidR="00503CEC" w:rsidRDefault="00000000" w:rsidP="00D422CE">
      <w:pPr>
        <w:spacing w:before="240" w:after="80"/>
        <w:jc w:val="both"/>
      </w:pPr>
      <w:r>
        <w:rPr>
          <w:color w:val="555555"/>
        </w:rPr>
        <w:t xml:space="preserve">Key columns: </w:t>
      </w:r>
      <w:proofErr w:type="spellStart"/>
      <w:r>
        <w:rPr>
          <w:color w:val="555555"/>
        </w:rPr>
        <w:t>MerchantID</w:t>
      </w:r>
      <w:proofErr w:type="spellEnd"/>
      <w:r>
        <w:rPr>
          <w:color w:val="555555"/>
        </w:rPr>
        <w:t xml:space="preserve">, Invoice, </w:t>
      </w:r>
      <w:proofErr w:type="spellStart"/>
      <w:r>
        <w:rPr>
          <w:color w:val="555555"/>
        </w:rPr>
        <w:t>StockCode</w:t>
      </w:r>
      <w:proofErr w:type="spellEnd"/>
      <w:r>
        <w:rPr>
          <w:color w:val="555555"/>
        </w:rPr>
        <w:t xml:space="preserve">, Description, Quantity, Price, </w:t>
      </w:r>
      <w:proofErr w:type="spellStart"/>
      <w:r>
        <w:rPr>
          <w:color w:val="555555"/>
        </w:rPr>
        <w:t>Total_Spend</w:t>
      </w:r>
      <w:proofErr w:type="spellEnd"/>
      <w:r>
        <w:rPr>
          <w:color w:val="555555"/>
        </w:rPr>
        <w:t xml:space="preserve">, </w:t>
      </w:r>
      <w:proofErr w:type="spellStart"/>
      <w:r>
        <w:rPr>
          <w:color w:val="555555"/>
        </w:rPr>
        <w:t>TransactionDate</w:t>
      </w:r>
      <w:proofErr w:type="spellEnd"/>
      <w:r>
        <w:rPr>
          <w:color w:val="555555"/>
        </w:rPr>
        <w:t>, Country.</w:t>
      </w:r>
    </w:p>
    <w:p w14:paraId="1EC5957E" w14:textId="77777777" w:rsidR="00503CEC" w:rsidRDefault="00503CEC">
      <w:pPr>
        <w:spacing w:before="120"/>
      </w:pPr>
    </w:p>
    <w:p w14:paraId="1D04D7F8" w14:textId="77777777" w:rsidR="00503CEC" w:rsidRDefault="00000000">
      <w:pPr>
        <w:pStyle w:val="Heading2"/>
      </w:pPr>
      <w:r>
        <w:t>3. cohort_retention.csv — Cohort Analysis</w:t>
      </w:r>
    </w:p>
    <w:p w14:paraId="2A9B07ED" w14:textId="12643DAF" w:rsidR="00503CEC" w:rsidRDefault="00000000" w:rsidP="00D422CE">
      <w:pPr>
        <w:spacing w:before="80" w:after="80"/>
        <w:jc w:val="both"/>
      </w:pPr>
      <w:r>
        <w:rPr>
          <w:color w:val="555555"/>
        </w:rPr>
        <w:t>One row per cohort month. This table pre-aggregates merchant counts and retention rates by the month merchants first joined. It is the primary data source for the Cohort Retention dashboard page and enables comparison of how different joining cohorts performed over time.</w:t>
      </w:r>
    </w:p>
    <w:p w14:paraId="188BC619" w14:textId="77777777" w:rsidR="00503CEC" w:rsidRPr="00D422CE" w:rsidRDefault="00000000" w:rsidP="00D422CE">
      <w:pPr>
        <w:spacing w:before="240" w:after="80"/>
        <w:jc w:val="both"/>
        <w:rPr>
          <w:color w:val="555555"/>
        </w:rPr>
      </w:pPr>
      <w:r>
        <w:rPr>
          <w:color w:val="555555"/>
        </w:rPr>
        <w:t xml:space="preserve">Key columns: </w:t>
      </w:r>
      <w:proofErr w:type="spellStart"/>
      <w:r>
        <w:rPr>
          <w:color w:val="555555"/>
        </w:rPr>
        <w:t>Cohort_Month</w:t>
      </w:r>
      <w:proofErr w:type="spellEnd"/>
      <w:r>
        <w:rPr>
          <w:color w:val="555555"/>
        </w:rPr>
        <w:t xml:space="preserve">, </w:t>
      </w:r>
      <w:proofErr w:type="spellStart"/>
      <w:r>
        <w:rPr>
          <w:color w:val="555555"/>
        </w:rPr>
        <w:t>Total_Merchants</w:t>
      </w:r>
      <w:proofErr w:type="spellEnd"/>
      <w:r>
        <w:rPr>
          <w:color w:val="555555"/>
        </w:rPr>
        <w:t xml:space="preserve">, </w:t>
      </w:r>
      <w:proofErr w:type="spellStart"/>
      <w:r>
        <w:rPr>
          <w:color w:val="555555"/>
        </w:rPr>
        <w:t>Active_Merchants</w:t>
      </w:r>
      <w:proofErr w:type="spellEnd"/>
      <w:r>
        <w:rPr>
          <w:color w:val="555555"/>
        </w:rPr>
        <w:t xml:space="preserve">, </w:t>
      </w:r>
      <w:proofErr w:type="spellStart"/>
      <w:r>
        <w:rPr>
          <w:color w:val="555555"/>
        </w:rPr>
        <w:t>Churned_Merchants</w:t>
      </w:r>
      <w:proofErr w:type="spellEnd"/>
      <w:r>
        <w:rPr>
          <w:color w:val="555555"/>
        </w:rPr>
        <w:t xml:space="preserve">, </w:t>
      </w:r>
      <w:proofErr w:type="spellStart"/>
      <w:r>
        <w:rPr>
          <w:color w:val="555555"/>
        </w:rPr>
        <w:t>Avg_Tenure</w:t>
      </w:r>
      <w:proofErr w:type="spellEnd"/>
      <w:r>
        <w:rPr>
          <w:color w:val="555555"/>
        </w:rPr>
        <w:t xml:space="preserve">, </w:t>
      </w:r>
      <w:proofErr w:type="spellStart"/>
      <w:r>
        <w:rPr>
          <w:color w:val="555555"/>
        </w:rPr>
        <w:t>Retention_Rate</w:t>
      </w:r>
      <w:proofErr w:type="spellEnd"/>
      <w:r>
        <w:rPr>
          <w:color w:val="555555"/>
        </w:rPr>
        <w:t>_%.</w:t>
      </w:r>
    </w:p>
    <w:p w14:paraId="453B6CFF" w14:textId="77777777" w:rsidR="00503CEC" w:rsidRDefault="00503CEC">
      <w:pPr>
        <w:spacing w:before="120"/>
      </w:pPr>
    </w:p>
    <w:p w14:paraId="13D14A28" w14:textId="77777777" w:rsidR="00503CEC" w:rsidRDefault="00000000">
      <w:pPr>
        <w:pStyle w:val="Heading2"/>
      </w:pPr>
      <w:r>
        <w:t>4. monthly_activity.csv — Time Trends</w:t>
      </w:r>
    </w:p>
    <w:p w14:paraId="011ED80E" w14:textId="0E91CEB6" w:rsidR="00503CEC" w:rsidRDefault="00000000" w:rsidP="00D422CE">
      <w:pPr>
        <w:spacing w:before="80" w:after="80"/>
        <w:jc w:val="both"/>
      </w:pPr>
      <w:r>
        <w:rPr>
          <w:color w:val="555555"/>
        </w:rPr>
        <w:t>One row per month. This table summarizes business activity at the monthly level, enabling trend analysis of revenue, transaction volume, and active merchant counts over time. It is used exclusively for the Transaction Trends dashboard page.</w:t>
      </w:r>
    </w:p>
    <w:p w14:paraId="175353B3" w14:textId="77777777" w:rsidR="00503CEC" w:rsidRPr="00D422CE" w:rsidRDefault="00000000" w:rsidP="00D422CE">
      <w:pPr>
        <w:spacing w:before="240" w:after="80"/>
        <w:jc w:val="both"/>
        <w:rPr>
          <w:color w:val="555555"/>
        </w:rPr>
      </w:pPr>
      <w:r>
        <w:rPr>
          <w:color w:val="555555"/>
        </w:rPr>
        <w:t xml:space="preserve">Key columns: </w:t>
      </w:r>
      <w:proofErr w:type="spellStart"/>
      <w:r>
        <w:rPr>
          <w:color w:val="555555"/>
        </w:rPr>
        <w:t>TransactionDate</w:t>
      </w:r>
      <w:proofErr w:type="spellEnd"/>
      <w:r>
        <w:rPr>
          <w:color w:val="555555"/>
        </w:rPr>
        <w:t xml:space="preserve">, </w:t>
      </w:r>
      <w:proofErr w:type="spellStart"/>
      <w:r>
        <w:rPr>
          <w:color w:val="555555"/>
        </w:rPr>
        <w:t>Total_Transactions</w:t>
      </w:r>
      <w:proofErr w:type="spellEnd"/>
      <w:r>
        <w:rPr>
          <w:color w:val="555555"/>
        </w:rPr>
        <w:t xml:space="preserve">, </w:t>
      </w:r>
      <w:proofErr w:type="spellStart"/>
      <w:r>
        <w:rPr>
          <w:color w:val="555555"/>
        </w:rPr>
        <w:t>Total_Merchants</w:t>
      </w:r>
      <w:proofErr w:type="spellEnd"/>
      <w:r>
        <w:rPr>
          <w:color w:val="555555"/>
        </w:rPr>
        <w:t xml:space="preserve">, </w:t>
      </w:r>
      <w:proofErr w:type="spellStart"/>
      <w:r>
        <w:rPr>
          <w:color w:val="555555"/>
        </w:rPr>
        <w:t>Total_Spend</w:t>
      </w:r>
      <w:proofErr w:type="spellEnd"/>
      <w:r>
        <w:rPr>
          <w:color w:val="555555"/>
        </w:rPr>
        <w:t>.</w:t>
      </w:r>
    </w:p>
    <w:p w14:paraId="72BEBFDC" w14:textId="77777777" w:rsidR="00503CEC" w:rsidRDefault="00000000">
      <w:r>
        <w:br w:type="page"/>
      </w:r>
    </w:p>
    <w:p w14:paraId="1AD34B5B" w14:textId="77777777" w:rsidR="00503CEC" w:rsidRDefault="00000000">
      <w:pPr>
        <w:pStyle w:val="Heading1"/>
      </w:pPr>
      <w:r>
        <w:lastRenderedPageBreak/>
        <w:t>Dashboard — Power BI Screenshots</w:t>
      </w:r>
    </w:p>
    <w:p w14:paraId="36FE97A2" w14:textId="77777777" w:rsidR="00503CEC" w:rsidRDefault="00503CEC">
      <w:pPr>
        <w:pBdr>
          <w:bottom w:val="single" w:sz="4" w:space="1" w:color="D6E4F0"/>
        </w:pBdr>
        <w:spacing w:before="160" w:after="160"/>
      </w:pPr>
    </w:p>
    <w:p w14:paraId="4608AF61" w14:textId="103D0B9E" w:rsidR="00503CEC" w:rsidRDefault="00000000" w:rsidP="00D422CE">
      <w:pPr>
        <w:spacing w:before="80" w:after="80"/>
        <w:jc w:val="both"/>
      </w:pPr>
      <w:r>
        <w:rPr>
          <w:color w:val="555555"/>
        </w:rPr>
        <w:t>The following pages show each of the five dashboard pages built in Power BI. Each page is designed to answer a specific set of business questions, with interactive slicers allowing filtering by country and merchant status.</w:t>
      </w:r>
    </w:p>
    <w:p w14:paraId="563CF4F4" w14:textId="77777777" w:rsidR="00503CEC" w:rsidRDefault="00000000">
      <w:pPr>
        <w:pStyle w:val="Heading2"/>
      </w:pPr>
      <w:r>
        <w:t>Page 1 — Overview (KPI Summary)</w:t>
      </w:r>
    </w:p>
    <w:p w14:paraId="45D9CB98" w14:textId="280C4326" w:rsidR="00442AE7" w:rsidRPr="00F06CA4" w:rsidRDefault="00000000" w:rsidP="00F06CA4">
      <w:pPr>
        <w:spacing w:before="80" w:after="80"/>
        <w:jc w:val="both"/>
        <w:rPr>
          <w:color w:val="555555"/>
        </w:rPr>
      </w:pPr>
      <w:r>
        <w:rPr>
          <w:color w:val="555555"/>
        </w:rPr>
        <w:t>Provides a high-level snapshot of the business: total merchants, active vs churned split, overall churn rate, retention rate, and average tenure. The donut chart and churn trend line give immediate visual context for the scale of the retention challenge.</w:t>
      </w:r>
    </w:p>
    <w:p w14:paraId="142A5238" w14:textId="480FD8DD" w:rsidR="00503CEC" w:rsidRDefault="00442AE7" w:rsidP="00F06CA4">
      <w:pPr>
        <w:spacing w:before="240"/>
      </w:pPr>
      <w:r w:rsidRPr="00442AE7">
        <w:rPr>
          <w:noProof/>
        </w:rPr>
        <w:drawing>
          <wp:inline distT="0" distB="0" distL="0" distR="0" wp14:anchorId="22FF7585" wp14:editId="04C7B6BE">
            <wp:extent cx="5406582" cy="3017520"/>
            <wp:effectExtent l="0" t="0" r="3810" b="0"/>
            <wp:docPr id="161038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6303" name=""/>
                    <pic:cNvPicPr/>
                  </pic:nvPicPr>
                  <pic:blipFill>
                    <a:blip r:embed="rId7"/>
                    <a:stretch>
                      <a:fillRect/>
                    </a:stretch>
                  </pic:blipFill>
                  <pic:spPr>
                    <a:xfrm>
                      <a:off x="0" y="0"/>
                      <a:ext cx="5406582" cy="3017520"/>
                    </a:xfrm>
                    <a:prstGeom prst="rect">
                      <a:avLst/>
                    </a:prstGeom>
                  </pic:spPr>
                </pic:pic>
              </a:graphicData>
            </a:graphic>
          </wp:inline>
        </w:drawing>
      </w:r>
    </w:p>
    <w:p w14:paraId="23163899" w14:textId="1CFD10B8" w:rsidR="00503CEC" w:rsidRPr="00442AE7" w:rsidRDefault="00442AE7" w:rsidP="00442AE7">
      <w:pPr>
        <w:rPr>
          <w:b/>
          <w:bCs/>
          <w:i/>
          <w:iCs/>
          <w:color w:val="2C5F8A"/>
          <w:sz w:val="20"/>
          <w:szCs w:val="20"/>
        </w:rPr>
      </w:pPr>
      <w:r>
        <w:rPr>
          <w:b/>
          <w:bCs/>
          <w:i/>
          <w:iCs/>
          <w:color w:val="2C5F8A"/>
          <w:sz w:val="20"/>
          <w:szCs w:val="20"/>
        </w:rPr>
        <w:br w:type="page"/>
      </w:r>
    </w:p>
    <w:p w14:paraId="223715F1" w14:textId="77777777" w:rsidR="00503CEC" w:rsidRDefault="00000000">
      <w:pPr>
        <w:pStyle w:val="Heading2"/>
      </w:pPr>
      <w:r>
        <w:lastRenderedPageBreak/>
        <w:t>Page 2 — Churn Analysis</w:t>
      </w:r>
    </w:p>
    <w:p w14:paraId="365175D9" w14:textId="77777777" w:rsidR="00503CEC" w:rsidRDefault="00000000" w:rsidP="00D422CE">
      <w:pPr>
        <w:spacing w:before="80" w:after="80"/>
        <w:jc w:val="both"/>
      </w:pPr>
      <w:r>
        <w:rPr>
          <w:color w:val="555555"/>
        </w:rPr>
        <w:t>Deep dives into who is churning and why. The scatter plot reveals the relationship between merchant tenure and inactivity, while the bar chart shows which countries have the highest churn rates. The inactivity distribution chart highlights how many merchants are at various stages of disengagement.</w:t>
      </w:r>
    </w:p>
    <w:p w14:paraId="33A940F3" w14:textId="7F2D677D" w:rsidR="00F06CA4" w:rsidRDefault="00442AE7" w:rsidP="00F06CA4">
      <w:pPr>
        <w:spacing w:before="240" w:after="240"/>
      </w:pPr>
      <w:r w:rsidRPr="00442AE7">
        <w:rPr>
          <w:noProof/>
        </w:rPr>
        <w:drawing>
          <wp:inline distT="0" distB="0" distL="0" distR="0" wp14:anchorId="6B983F41" wp14:editId="30EBD3BA">
            <wp:extent cx="5454614" cy="3017520"/>
            <wp:effectExtent l="0" t="0" r="0" b="0"/>
            <wp:docPr id="16432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75005" name=""/>
                    <pic:cNvPicPr/>
                  </pic:nvPicPr>
                  <pic:blipFill>
                    <a:blip r:embed="rId8"/>
                    <a:stretch>
                      <a:fillRect/>
                    </a:stretch>
                  </pic:blipFill>
                  <pic:spPr>
                    <a:xfrm>
                      <a:off x="0" y="0"/>
                      <a:ext cx="5454614" cy="3017520"/>
                    </a:xfrm>
                    <a:prstGeom prst="rect">
                      <a:avLst/>
                    </a:prstGeom>
                  </pic:spPr>
                </pic:pic>
              </a:graphicData>
            </a:graphic>
          </wp:inline>
        </w:drawing>
      </w:r>
    </w:p>
    <w:p w14:paraId="7D37E29F" w14:textId="77777777" w:rsidR="00503CEC" w:rsidRDefault="00000000" w:rsidP="00F06CA4">
      <w:pPr>
        <w:pStyle w:val="Heading2"/>
      </w:pPr>
      <w:r>
        <w:t>Page 3 — Cohort Retention</w:t>
      </w:r>
    </w:p>
    <w:p w14:paraId="63FDD7B5" w14:textId="08C927E5" w:rsidR="00503CEC" w:rsidRDefault="00000000" w:rsidP="00D422CE">
      <w:pPr>
        <w:spacing w:before="80" w:after="80"/>
        <w:jc w:val="both"/>
      </w:pPr>
      <w:r>
        <w:rPr>
          <w:color w:val="555555"/>
        </w:rPr>
        <w:t>Analyzes retention performance by cohort</w:t>
      </w:r>
      <w:r w:rsidR="00F06CA4">
        <w:rPr>
          <w:color w:val="555555"/>
        </w:rPr>
        <w:t xml:space="preserve">, </w:t>
      </w:r>
      <w:r>
        <w:rPr>
          <w:color w:val="555555"/>
        </w:rPr>
        <w:t>the month each merchant first joined. The line chart with 50% benchmark line shows which cohorts performed above or below average, while the heatmap matrix uses color to make retention patterns immediately visible.</w:t>
      </w:r>
    </w:p>
    <w:p w14:paraId="6DB2B632" w14:textId="788E4A9C" w:rsidR="00503CEC" w:rsidRDefault="00442AE7" w:rsidP="00F06CA4">
      <w:pPr>
        <w:spacing w:before="240"/>
      </w:pPr>
      <w:r w:rsidRPr="00442AE7">
        <w:rPr>
          <w:noProof/>
        </w:rPr>
        <w:drawing>
          <wp:inline distT="0" distB="0" distL="0" distR="0" wp14:anchorId="634A2E87" wp14:editId="5E323123">
            <wp:extent cx="5434671" cy="3017520"/>
            <wp:effectExtent l="0" t="0" r="0" b="0"/>
            <wp:docPr id="168447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0631" name=""/>
                    <pic:cNvPicPr/>
                  </pic:nvPicPr>
                  <pic:blipFill>
                    <a:blip r:embed="rId9"/>
                    <a:stretch>
                      <a:fillRect/>
                    </a:stretch>
                  </pic:blipFill>
                  <pic:spPr>
                    <a:xfrm>
                      <a:off x="0" y="0"/>
                      <a:ext cx="5434671" cy="3017520"/>
                    </a:xfrm>
                    <a:prstGeom prst="rect">
                      <a:avLst/>
                    </a:prstGeom>
                  </pic:spPr>
                </pic:pic>
              </a:graphicData>
            </a:graphic>
          </wp:inline>
        </w:drawing>
      </w:r>
    </w:p>
    <w:p w14:paraId="7C048D4D" w14:textId="77777777" w:rsidR="00503CEC" w:rsidRDefault="00000000">
      <w:pPr>
        <w:pStyle w:val="Heading2"/>
      </w:pPr>
      <w:r>
        <w:lastRenderedPageBreak/>
        <w:t>Page 4 — Merchant Segmentation</w:t>
      </w:r>
    </w:p>
    <w:p w14:paraId="07C3547A" w14:textId="2D4FE371" w:rsidR="00503CEC" w:rsidRDefault="00000000" w:rsidP="00F06CA4">
      <w:pPr>
        <w:spacing w:before="80" w:after="80"/>
        <w:jc w:val="both"/>
      </w:pPr>
      <w:r>
        <w:rPr>
          <w:color w:val="555555"/>
        </w:rPr>
        <w:t xml:space="preserve">Segments merchants by </w:t>
      </w:r>
      <w:proofErr w:type="gramStart"/>
      <w:r>
        <w:rPr>
          <w:color w:val="555555"/>
        </w:rPr>
        <w:t>value</w:t>
      </w:r>
      <w:r w:rsidR="00F06CA4">
        <w:rPr>
          <w:color w:val="555555"/>
        </w:rPr>
        <w:t xml:space="preserve">, </w:t>
      </w:r>
      <w:r>
        <w:rPr>
          <w:color w:val="555555"/>
        </w:rPr>
        <w:t xml:space="preserve"> identifying</w:t>
      </w:r>
      <w:proofErr w:type="gramEnd"/>
      <w:r>
        <w:rPr>
          <w:color w:val="555555"/>
        </w:rPr>
        <w:t xml:space="preserve"> the top 10 highest-spending merchants and comparing average order value and total spend across countries. The Country and </w:t>
      </w:r>
      <w:proofErr w:type="spellStart"/>
      <w:r>
        <w:rPr>
          <w:color w:val="555555"/>
        </w:rPr>
        <w:t>Is_Active</w:t>
      </w:r>
      <w:proofErr w:type="spellEnd"/>
      <w:r>
        <w:rPr>
          <w:color w:val="555555"/>
        </w:rPr>
        <w:t xml:space="preserve"> slicers allow filtering to compare active vs churned merchant spending patterns.</w:t>
      </w:r>
    </w:p>
    <w:p w14:paraId="204E0B6F" w14:textId="5D5AB768" w:rsidR="00503CEC" w:rsidRDefault="00F06CA4">
      <w:pPr>
        <w:spacing w:before="200"/>
      </w:pPr>
      <w:r w:rsidRPr="00F06CA4">
        <w:drawing>
          <wp:inline distT="0" distB="0" distL="0" distR="0" wp14:anchorId="7C3AFCD3" wp14:editId="131A6886">
            <wp:extent cx="5412800" cy="3017520"/>
            <wp:effectExtent l="0" t="0" r="0" b="0"/>
            <wp:docPr id="8854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95725" name=""/>
                    <pic:cNvPicPr/>
                  </pic:nvPicPr>
                  <pic:blipFill>
                    <a:blip r:embed="rId10"/>
                    <a:stretch>
                      <a:fillRect/>
                    </a:stretch>
                  </pic:blipFill>
                  <pic:spPr>
                    <a:xfrm>
                      <a:off x="0" y="0"/>
                      <a:ext cx="5412800" cy="3017520"/>
                    </a:xfrm>
                    <a:prstGeom prst="rect">
                      <a:avLst/>
                    </a:prstGeom>
                  </pic:spPr>
                </pic:pic>
              </a:graphicData>
            </a:graphic>
          </wp:inline>
        </w:drawing>
      </w:r>
    </w:p>
    <w:p w14:paraId="6D196AAD" w14:textId="77777777" w:rsidR="00503CEC" w:rsidRDefault="00000000">
      <w:pPr>
        <w:pStyle w:val="Heading2"/>
      </w:pPr>
      <w:r>
        <w:t>Page 5 — Transaction Trends</w:t>
      </w:r>
    </w:p>
    <w:p w14:paraId="031E6863" w14:textId="6289F3C9" w:rsidR="00503CEC" w:rsidRDefault="00000000" w:rsidP="00F06CA4">
      <w:pPr>
        <w:spacing w:before="80" w:after="80"/>
        <w:jc w:val="both"/>
      </w:pPr>
      <w:r>
        <w:rPr>
          <w:color w:val="555555"/>
        </w:rPr>
        <w:t>Shows the overall business trajectory over time</w:t>
      </w:r>
      <w:r w:rsidR="00F06CA4">
        <w:rPr>
          <w:color w:val="555555"/>
        </w:rPr>
        <w:t>,</w:t>
      </w:r>
      <w:r>
        <w:rPr>
          <w:color w:val="555555"/>
        </w:rPr>
        <w:t xml:space="preserve"> monthly revenue, active merchant counts, and transaction volume. The trend line on the transactions chart cuts through monthly noise to reveal the underlying growth or </w:t>
      </w:r>
      <w:proofErr w:type="gramStart"/>
      <w:r>
        <w:rPr>
          <w:color w:val="555555"/>
        </w:rPr>
        <w:t>decline direction</w:t>
      </w:r>
      <w:proofErr w:type="gramEnd"/>
      <w:r>
        <w:rPr>
          <w:color w:val="555555"/>
        </w:rPr>
        <w:t>.</w:t>
      </w:r>
    </w:p>
    <w:p w14:paraId="4097430E" w14:textId="77777777" w:rsidR="00503CEC" w:rsidRDefault="00503CEC">
      <w:pPr>
        <w:spacing w:before="120"/>
      </w:pPr>
    </w:p>
    <w:p w14:paraId="0211B88B" w14:textId="5806DD79" w:rsidR="00503CEC" w:rsidRDefault="00F06CA4">
      <w:r w:rsidRPr="00F06CA4">
        <w:drawing>
          <wp:inline distT="0" distB="0" distL="0" distR="0" wp14:anchorId="1A6B604C" wp14:editId="245A0852">
            <wp:extent cx="5436765" cy="3017520"/>
            <wp:effectExtent l="0" t="0" r="0" b="0"/>
            <wp:docPr id="124735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6058" name=""/>
                    <pic:cNvPicPr/>
                  </pic:nvPicPr>
                  <pic:blipFill>
                    <a:blip r:embed="rId11"/>
                    <a:stretch>
                      <a:fillRect/>
                    </a:stretch>
                  </pic:blipFill>
                  <pic:spPr>
                    <a:xfrm>
                      <a:off x="0" y="0"/>
                      <a:ext cx="5436765" cy="3017520"/>
                    </a:xfrm>
                    <a:prstGeom prst="rect">
                      <a:avLst/>
                    </a:prstGeom>
                  </pic:spPr>
                </pic:pic>
              </a:graphicData>
            </a:graphic>
          </wp:inline>
        </w:drawing>
      </w:r>
      <w:r w:rsidR="00000000">
        <w:br w:type="page"/>
      </w:r>
    </w:p>
    <w:p w14:paraId="7CE156D4" w14:textId="77777777" w:rsidR="00503CEC" w:rsidRDefault="00000000">
      <w:pPr>
        <w:pStyle w:val="Heading1"/>
      </w:pPr>
      <w:r>
        <w:lastRenderedPageBreak/>
        <w:t>Key Findings</w:t>
      </w:r>
    </w:p>
    <w:p w14:paraId="6BCCF4E8" w14:textId="77777777" w:rsidR="00503CEC" w:rsidRDefault="00503CEC">
      <w:pPr>
        <w:pBdr>
          <w:bottom w:val="single" w:sz="4" w:space="1" w:color="D6E4F0"/>
        </w:pBdr>
        <w:spacing w:before="160" w:after="160"/>
      </w:pPr>
    </w:p>
    <w:p w14:paraId="30DC5CCC" w14:textId="77777777" w:rsidR="00503CEC" w:rsidRDefault="00000000" w:rsidP="00F06CA4">
      <w:pPr>
        <w:spacing w:before="80" w:after="80"/>
        <w:jc w:val="both"/>
      </w:pPr>
      <w:r>
        <w:rPr>
          <w:color w:val="555555"/>
        </w:rPr>
        <w:t>The following findings emerge from the five dashboard pages. Each is grounded in the data and directly relevant to the business goal of improving merchant retention.</w:t>
      </w:r>
    </w:p>
    <w:p w14:paraId="10E0C2F9" w14:textId="77777777" w:rsidR="00503CEC" w:rsidRDefault="00503CEC">
      <w:pPr>
        <w:spacing w:before="160"/>
      </w:pPr>
    </w:p>
    <w:p w14:paraId="19A47B2A" w14:textId="77777777" w:rsidR="00503CEC" w:rsidRDefault="00000000">
      <w:pPr>
        <w:pStyle w:val="Heading2"/>
      </w:pPr>
      <w:r>
        <w:t>Finding 1 — Churn Rate is Critically High</w:t>
      </w:r>
    </w:p>
    <w:p w14:paraId="5615B048" w14:textId="1C54430E" w:rsidR="00503CEC" w:rsidRDefault="00000000" w:rsidP="00F06CA4">
      <w:pPr>
        <w:pStyle w:val="ListParagraph"/>
        <w:numPr>
          <w:ilvl w:val="0"/>
          <w:numId w:val="2"/>
        </w:numPr>
        <w:spacing w:before="60" w:after="60"/>
        <w:jc w:val="both"/>
      </w:pPr>
      <w:r>
        <w:rPr>
          <w:color w:val="555555"/>
        </w:rPr>
        <w:t xml:space="preserve">50.79% of all merchants have </w:t>
      </w:r>
      <w:r w:rsidR="00F06CA4">
        <w:rPr>
          <w:color w:val="555555"/>
        </w:rPr>
        <w:t>churned, and more</w:t>
      </w:r>
      <w:r>
        <w:rPr>
          <w:color w:val="555555"/>
        </w:rPr>
        <w:t xml:space="preserve"> than half the merchant base has been lost.</w:t>
      </w:r>
    </w:p>
    <w:p w14:paraId="19189293" w14:textId="77777777" w:rsidR="00503CEC" w:rsidRDefault="00000000" w:rsidP="00F06CA4">
      <w:pPr>
        <w:pStyle w:val="ListParagraph"/>
        <w:numPr>
          <w:ilvl w:val="0"/>
          <w:numId w:val="2"/>
        </w:numPr>
        <w:spacing w:before="60" w:after="60"/>
        <w:jc w:val="both"/>
      </w:pPr>
      <w:r>
        <w:rPr>
          <w:color w:val="555555"/>
        </w:rPr>
        <w:t>Average merchant tenure is only 9.1 months, meaning most merchants churn before completing their first year.</w:t>
      </w:r>
    </w:p>
    <w:p w14:paraId="5EBBD1C4" w14:textId="1146AD01" w:rsidR="00503CEC" w:rsidRDefault="00000000" w:rsidP="00F06CA4">
      <w:pPr>
        <w:pStyle w:val="ListParagraph"/>
        <w:numPr>
          <w:ilvl w:val="0"/>
          <w:numId w:val="2"/>
        </w:numPr>
        <w:spacing w:before="60" w:after="60"/>
        <w:jc w:val="both"/>
      </w:pPr>
      <w:r>
        <w:rPr>
          <w:color w:val="555555"/>
        </w:rPr>
        <w:t>This level of churn represents a major revenue leakage</w:t>
      </w:r>
      <w:r w:rsidR="00F06CA4">
        <w:rPr>
          <w:color w:val="555555"/>
        </w:rPr>
        <w:t xml:space="preserve">; </w:t>
      </w:r>
      <w:r>
        <w:rPr>
          <w:color w:val="555555"/>
        </w:rPr>
        <w:t xml:space="preserve">every churned merchant is </w:t>
      </w:r>
      <w:r w:rsidR="00F06CA4">
        <w:rPr>
          <w:color w:val="555555"/>
        </w:rPr>
        <w:t>losing</w:t>
      </w:r>
      <w:r>
        <w:rPr>
          <w:color w:val="555555"/>
        </w:rPr>
        <w:t xml:space="preserve"> future </w:t>
      </w:r>
      <w:r w:rsidR="00F06CA4">
        <w:rPr>
          <w:color w:val="555555"/>
        </w:rPr>
        <w:t>spending</w:t>
      </w:r>
      <w:r>
        <w:rPr>
          <w:color w:val="555555"/>
        </w:rPr>
        <w:t>.</w:t>
      </w:r>
    </w:p>
    <w:p w14:paraId="666B272A" w14:textId="77777777" w:rsidR="00503CEC" w:rsidRDefault="00503CEC">
      <w:pPr>
        <w:spacing w:before="120"/>
      </w:pPr>
    </w:p>
    <w:p w14:paraId="37CA63BB" w14:textId="77777777" w:rsidR="00503CEC" w:rsidRDefault="00000000">
      <w:pPr>
        <w:pStyle w:val="Heading2"/>
      </w:pPr>
      <w:r>
        <w:t>Finding 2 — Early Tenure is the Highest Risk Period</w:t>
      </w:r>
    </w:p>
    <w:p w14:paraId="6A60BEDE" w14:textId="77777777" w:rsidR="00503CEC" w:rsidRDefault="00000000" w:rsidP="0099794D">
      <w:pPr>
        <w:pStyle w:val="ListParagraph"/>
        <w:numPr>
          <w:ilvl w:val="0"/>
          <w:numId w:val="2"/>
        </w:numPr>
        <w:spacing w:before="60" w:after="60"/>
        <w:jc w:val="both"/>
      </w:pPr>
      <w:r>
        <w:rPr>
          <w:color w:val="555555"/>
        </w:rPr>
        <w:t>The scatter plot (tenure vs inactivity) shows that merchants with 0–5 months tenure have the widest spread of inactivity days.</w:t>
      </w:r>
    </w:p>
    <w:p w14:paraId="1C8744DC" w14:textId="3B5DD93B" w:rsidR="00503CEC" w:rsidRDefault="00000000" w:rsidP="0099794D">
      <w:pPr>
        <w:pStyle w:val="ListParagraph"/>
        <w:numPr>
          <w:ilvl w:val="0"/>
          <w:numId w:val="2"/>
        </w:numPr>
        <w:spacing w:before="60" w:after="60"/>
        <w:jc w:val="both"/>
      </w:pPr>
      <w:r>
        <w:rPr>
          <w:color w:val="555555"/>
        </w:rPr>
        <w:t xml:space="preserve">This indicates that the first few months are the most </w:t>
      </w:r>
      <w:r w:rsidR="00F06CA4">
        <w:rPr>
          <w:color w:val="555555"/>
        </w:rPr>
        <w:t xml:space="preserve">critical factors, </w:t>
      </w:r>
      <w:r>
        <w:rPr>
          <w:color w:val="555555"/>
        </w:rPr>
        <w:t>merchants who disengage early are unlikely to return.</w:t>
      </w:r>
    </w:p>
    <w:p w14:paraId="0C696937" w14:textId="77777777" w:rsidR="00503CEC" w:rsidRDefault="00000000" w:rsidP="0099794D">
      <w:pPr>
        <w:pStyle w:val="ListParagraph"/>
        <w:numPr>
          <w:ilvl w:val="0"/>
          <w:numId w:val="2"/>
        </w:numPr>
        <w:spacing w:before="60" w:after="60"/>
        <w:jc w:val="both"/>
      </w:pPr>
      <w:r>
        <w:rPr>
          <w:color w:val="555555"/>
        </w:rPr>
        <w:t>Retention interventions should be focused on newly onboarded merchants.</w:t>
      </w:r>
    </w:p>
    <w:p w14:paraId="42F62CC9" w14:textId="77777777" w:rsidR="00503CEC" w:rsidRDefault="00503CEC">
      <w:pPr>
        <w:spacing w:before="120"/>
      </w:pPr>
    </w:p>
    <w:p w14:paraId="7920F1A2" w14:textId="77777777" w:rsidR="00503CEC" w:rsidRDefault="00000000">
      <w:pPr>
        <w:pStyle w:val="Heading2"/>
      </w:pPr>
      <w:r>
        <w:t>Finding 3 — Country-Level Churn is Broadly Similar</w:t>
      </w:r>
    </w:p>
    <w:p w14:paraId="7FE2D327" w14:textId="68B2BE41" w:rsidR="00503CEC" w:rsidRDefault="0099794D" w:rsidP="0099794D">
      <w:pPr>
        <w:pStyle w:val="ListParagraph"/>
        <w:numPr>
          <w:ilvl w:val="0"/>
          <w:numId w:val="2"/>
        </w:numPr>
        <w:spacing w:before="60" w:after="60"/>
        <w:jc w:val="both"/>
      </w:pPr>
      <w:r>
        <w:rPr>
          <w:color w:val="555555"/>
        </w:rPr>
        <w:t>Some</w:t>
      </w:r>
      <w:r w:rsidR="00000000">
        <w:rPr>
          <w:color w:val="555555"/>
        </w:rPr>
        <w:t xml:space="preserve"> countries show churn rates clustering near 100%, with notable exceptions.</w:t>
      </w:r>
    </w:p>
    <w:p w14:paraId="3BCB7063" w14:textId="7DAA1D81" w:rsidR="00503CEC" w:rsidRDefault="00000000" w:rsidP="0099794D">
      <w:pPr>
        <w:pStyle w:val="ListParagraph"/>
        <w:numPr>
          <w:ilvl w:val="0"/>
          <w:numId w:val="2"/>
        </w:numPr>
        <w:spacing w:before="60" w:after="60"/>
        <w:jc w:val="both"/>
      </w:pPr>
      <w:r>
        <w:rPr>
          <w:color w:val="555555"/>
        </w:rPr>
        <w:t xml:space="preserve">Greece </w:t>
      </w:r>
      <w:r w:rsidR="0099794D">
        <w:rPr>
          <w:color w:val="555555"/>
        </w:rPr>
        <w:t>shows</w:t>
      </w:r>
      <w:r>
        <w:rPr>
          <w:color w:val="555555"/>
        </w:rPr>
        <w:t xml:space="preserve"> lower churn rates (~60–70%), suggesting different market dynamics or stronger local engagement.</w:t>
      </w:r>
    </w:p>
    <w:p w14:paraId="06A34B21" w14:textId="77777777" w:rsidR="00503CEC" w:rsidRDefault="00000000" w:rsidP="0099794D">
      <w:pPr>
        <w:pStyle w:val="ListParagraph"/>
        <w:numPr>
          <w:ilvl w:val="0"/>
          <w:numId w:val="2"/>
        </w:numPr>
        <w:spacing w:before="60" w:after="60"/>
        <w:jc w:val="both"/>
      </w:pPr>
      <w:r>
        <w:rPr>
          <w:color w:val="555555"/>
        </w:rPr>
        <w:t>The United Kingdom dominates total revenue despite not having the lowest churn, simply due to merchant volume.</w:t>
      </w:r>
    </w:p>
    <w:p w14:paraId="4185D734" w14:textId="77777777" w:rsidR="00503CEC" w:rsidRDefault="00503CEC">
      <w:pPr>
        <w:spacing w:before="120"/>
      </w:pPr>
    </w:p>
    <w:p w14:paraId="469DB1CB" w14:textId="77777777" w:rsidR="00503CEC" w:rsidRDefault="00000000">
      <w:pPr>
        <w:pStyle w:val="Heading2"/>
      </w:pPr>
      <w:r>
        <w:t>Finding 4 — Late 2011 Cohorts Show Dramatically Better Retention</w:t>
      </w:r>
    </w:p>
    <w:p w14:paraId="2ABA92A9" w14:textId="77777777" w:rsidR="00503CEC" w:rsidRDefault="00000000" w:rsidP="0099794D">
      <w:pPr>
        <w:pStyle w:val="ListParagraph"/>
        <w:numPr>
          <w:ilvl w:val="0"/>
          <w:numId w:val="2"/>
        </w:numPr>
        <w:spacing w:before="60" w:after="60"/>
        <w:jc w:val="both"/>
      </w:pPr>
      <w:r>
        <w:rPr>
          <w:color w:val="555555"/>
        </w:rPr>
        <w:t>Cohorts from September–December 2011 show retention rates of 90–100%, compared to ~30–40% for 2010 cohorts.</w:t>
      </w:r>
    </w:p>
    <w:p w14:paraId="52993609" w14:textId="77777777" w:rsidR="00503CEC" w:rsidRDefault="00000000" w:rsidP="0099794D">
      <w:pPr>
        <w:pStyle w:val="ListParagraph"/>
        <w:numPr>
          <w:ilvl w:val="0"/>
          <w:numId w:val="2"/>
        </w:numPr>
        <w:spacing w:before="60" w:after="60"/>
        <w:jc w:val="both"/>
      </w:pPr>
      <w:r>
        <w:rPr>
          <w:color w:val="555555"/>
        </w:rPr>
        <w:t>This is the most positive signal in the entire dataset — something changed in late 2011 that dramatically improved retention.</w:t>
      </w:r>
    </w:p>
    <w:p w14:paraId="7C29ABFC" w14:textId="7646E33A" w:rsidR="001C65F2" w:rsidRDefault="00000000" w:rsidP="001C65F2">
      <w:pPr>
        <w:pStyle w:val="ListParagraph"/>
        <w:numPr>
          <w:ilvl w:val="0"/>
          <w:numId w:val="2"/>
        </w:numPr>
        <w:spacing w:before="60" w:after="60"/>
        <w:jc w:val="both"/>
      </w:pPr>
      <w:r>
        <w:rPr>
          <w:color w:val="555555"/>
        </w:rPr>
        <w:t>Identifying and replicating whatever drove this improvement should be a top business priority.</w:t>
      </w:r>
      <w:r w:rsidR="001C65F2">
        <w:rPr>
          <w:color w:val="555555"/>
        </w:rPr>
        <w:br/>
      </w:r>
    </w:p>
    <w:p w14:paraId="4B4598BB" w14:textId="77777777" w:rsidR="00503CEC" w:rsidRDefault="00503CEC">
      <w:pPr>
        <w:spacing w:before="120"/>
      </w:pPr>
    </w:p>
    <w:p w14:paraId="48012C87" w14:textId="77777777" w:rsidR="00503CEC" w:rsidRDefault="00000000">
      <w:pPr>
        <w:pStyle w:val="Heading2"/>
      </w:pPr>
      <w:r>
        <w:lastRenderedPageBreak/>
        <w:t>Finding 5 — November is Consistently the Peak Month</w:t>
      </w:r>
    </w:p>
    <w:p w14:paraId="701614C7" w14:textId="77777777" w:rsidR="00503CEC" w:rsidRDefault="00000000">
      <w:pPr>
        <w:pStyle w:val="ListParagraph"/>
        <w:numPr>
          <w:ilvl w:val="0"/>
          <w:numId w:val="2"/>
        </w:numPr>
        <w:spacing w:before="60" w:after="60"/>
      </w:pPr>
      <w:r>
        <w:rPr>
          <w:color w:val="555555"/>
        </w:rPr>
        <w:t>Transaction volume spikes sharply every November in both 2010 and 2011, indicating strong seasonal demand.</w:t>
      </w:r>
    </w:p>
    <w:p w14:paraId="1A27F90D" w14:textId="77777777" w:rsidR="00503CEC" w:rsidRDefault="00000000">
      <w:pPr>
        <w:pStyle w:val="ListParagraph"/>
        <w:numPr>
          <w:ilvl w:val="0"/>
          <w:numId w:val="2"/>
        </w:numPr>
        <w:spacing w:before="60" w:after="60"/>
      </w:pPr>
      <w:r>
        <w:rPr>
          <w:color w:val="555555"/>
        </w:rPr>
        <w:t>Revenue follows the same seasonal pattern, with January 2011 also showing a strong spike.</w:t>
      </w:r>
    </w:p>
    <w:p w14:paraId="0A8A2AC9" w14:textId="77777777" w:rsidR="00503CEC" w:rsidRDefault="00000000">
      <w:pPr>
        <w:pStyle w:val="ListParagraph"/>
        <w:numPr>
          <w:ilvl w:val="0"/>
          <w:numId w:val="2"/>
        </w:numPr>
        <w:spacing w:before="60" w:after="60"/>
      </w:pPr>
      <w:r>
        <w:rPr>
          <w:color w:val="555555"/>
        </w:rPr>
        <w:t>Planning around this seasonality — with targeted promotions and increased support — could maximize peak-period revenue.</w:t>
      </w:r>
    </w:p>
    <w:p w14:paraId="71982A4C" w14:textId="77777777" w:rsidR="00503CEC" w:rsidRDefault="00503CEC">
      <w:pPr>
        <w:spacing w:before="120"/>
      </w:pPr>
    </w:p>
    <w:p w14:paraId="759B982C" w14:textId="77777777" w:rsidR="00503CEC" w:rsidRDefault="00000000">
      <w:pPr>
        <w:pStyle w:val="Heading2"/>
      </w:pPr>
      <w:r>
        <w:t>Finding 6 — Top Merchants Are Active and High-Tenure</w:t>
      </w:r>
    </w:p>
    <w:p w14:paraId="6D29C5D8" w14:textId="77777777" w:rsidR="00503CEC" w:rsidRDefault="00000000">
      <w:pPr>
        <w:pStyle w:val="ListParagraph"/>
        <w:numPr>
          <w:ilvl w:val="0"/>
          <w:numId w:val="2"/>
        </w:numPr>
        <w:spacing w:before="60" w:after="60"/>
      </w:pPr>
      <w:r>
        <w:rPr>
          <w:color w:val="555555"/>
        </w:rPr>
        <w:t xml:space="preserve">All top 10 merchants by spend show </w:t>
      </w:r>
      <w:proofErr w:type="spellStart"/>
      <w:r>
        <w:rPr>
          <w:color w:val="555555"/>
        </w:rPr>
        <w:t>Is_Active</w:t>
      </w:r>
      <w:proofErr w:type="spellEnd"/>
      <w:r>
        <w:rPr>
          <w:color w:val="555555"/>
        </w:rPr>
        <w:t xml:space="preserve"> = True, meaning the highest-value merchants are currently retained.</w:t>
      </w:r>
    </w:p>
    <w:p w14:paraId="7697E507" w14:textId="372DDD41" w:rsidR="00503CEC" w:rsidRDefault="00000000">
      <w:pPr>
        <w:pStyle w:val="ListParagraph"/>
        <w:numPr>
          <w:ilvl w:val="0"/>
          <w:numId w:val="2"/>
        </w:numPr>
        <w:spacing w:before="60" w:after="60"/>
      </w:pPr>
      <w:r>
        <w:rPr>
          <w:color w:val="555555"/>
        </w:rPr>
        <w:t xml:space="preserve">Norway has the highest average order value per </w:t>
      </w:r>
      <w:proofErr w:type="gramStart"/>
      <w:r>
        <w:rPr>
          <w:color w:val="555555"/>
        </w:rPr>
        <w:t>merchant</w:t>
      </w:r>
      <w:r w:rsidR="001C65F2">
        <w:rPr>
          <w:color w:val="555555"/>
        </w:rPr>
        <w:t>,</w:t>
      </w:r>
      <w:proofErr w:type="gramEnd"/>
      <w:r>
        <w:rPr>
          <w:color w:val="555555"/>
        </w:rPr>
        <w:t xml:space="preserve"> UK dominates total revenue due to merchant volume.</w:t>
      </w:r>
    </w:p>
    <w:p w14:paraId="3F3B1A0E" w14:textId="3765B2F2" w:rsidR="0099794D" w:rsidRDefault="00000000" w:rsidP="001C65F2">
      <w:pPr>
        <w:pStyle w:val="ListParagraph"/>
        <w:numPr>
          <w:ilvl w:val="0"/>
          <w:numId w:val="2"/>
        </w:numPr>
        <w:spacing w:before="60" w:after="60"/>
      </w:pPr>
      <w:r>
        <w:rPr>
          <w:color w:val="555555"/>
        </w:rPr>
        <w:t>Protecting these high-value relationships through dedicated account management is a priority.</w:t>
      </w:r>
      <w:r>
        <w:br w:type="page"/>
      </w:r>
    </w:p>
    <w:p w14:paraId="0F1C16EE" w14:textId="77777777" w:rsidR="00503CEC" w:rsidRDefault="00000000">
      <w:pPr>
        <w:pStyle w:val="Heading1"/>
      </w:pPr>
      <w:r>
        <w:lastRenderedPageBreak/>
        <w:t>Recommendations</w:t>
      </w:r>
    </w:p>
    <w:p w14:paraId="43A871D1" w14:textId="77777777" w:rsidR="00503CEC" w:rsidRDefault="00503CEC">
      <w:pPr>
        <w:pBdr>
          <w:bottom w:val="single" w:sz="4" w:space="1" w:color="D6E4F0"/>
        </w:pBdr>
        <w:spacing w:before="160" w:after="160"/>
      </w:pPr>
    </w:p>
    <w:p w14:paraId="5145B462" w14:textId="538ECE45" w:rsidR="00503CEC" w:rsidRDefault="00000000" w:rsidP="001C65F2">
      <w:pPr>
        <w:spacing w:before="80" w:after="80"/>
        <w:jc w:val="both"/>
      </w:pPr>
      <w:r>
        <w:rPr>
          <w:color w:val="555555"/>
        </w:rPr>
        <w:t>Based on the findings above, the following actions are recommended. Each is directly tied to a specific data insight from the dashboard.</w:t>
      </w:r>
    </w:p>
    <w:p w14:paraId="7A26027E" w14:textId="77777777" w:rsidR="00503CEC" w:rsidRDefault="00000000">
      <w:pPr>
        <w:pStyle w:val="Heading2"/>
      </w:pPr>
      <w:r>
        <w:t>1. Launch an Early Tenure Retention Program</w:t>
      </w:r>
    </w:p>
    <w:p w14:paraId="1F3A9562" w14:textId="77777777" w:rsidR="00503CEC" w:rsidRDefault="00000000">
      <w:pPr>
        <w:spacing w:before="80" w:after="80"/>
      </w:pPr>
      <w:r>
        <w:rPr>
          <w:color w:val="555555"/>
        </w:rPr>
        <w:t>Since the highest churn risk is in the first 3–5 months, implement a structured onboarding program for all new merchants. This could include:</w:t>
      </w:r>
    </w:p>
    <w:p w14:paraId="2581A2F3" w14:textId="77777777" w:rsidR="00503CEC" w:rsidRDefault="00000000">
      <w:pPr>
        <w:pStyle w:val="ListParagraph"/>
        <w:numPr>
          <w:ilvl w:val="0"/>
          <w:numId w:val="2"/>
        </w:numPr>
        <w:spacing w:before="60" w:after="60"/>
      </w:pPr>
      <w:r>
        <w:rPr>
          <w:color w:val="555555"/>
        </w:rPr>
        <w:t>A welcome email series with product tips and success stories</w:t>
      </w:r>
    </w:p>
    <w:p w14:paraId="79550FA7" w14:textId="77777777" w:rsidR="00503CEC" w:rsidRDefault="00000000">
      <w:pPr>
        <w:pStyle w:val="ListParagraph"/>
        <w:numPr>
          <w:ilvl w:val="0"/>
          <w:numId w:val="2"/>
        </w:numPr>
        <w:spacing w:before="60" w:after="60"/>
      </w:pPr>
      <w:r>
        <w:rPr>
          <w:color w:val="555555"/>
        </w:rPr>
        <w:t>A dedicated account manager check-in at 30, 60, and 90 days</w:t>
      </w:r>
    </w:p>
    <w:p w14:paraId="4F466F88" w14:textId="77777777" w:rsidR="00503CEC" w:rsidRDefault="00000000">
      <w:pPr>
        <w:pStyle w:val="ListParagraph"/>
        <w:numPr>
          <w:ilvl w:val="0"/>
          <w:numId w:val="2"/>
        </w:numPr>
        <w:spacing w:before="60" w:after="60"/>
      </w:pPr>
      <w:r>
        <w:rPr>
          <w:color w:val="555555"/>
        </w:rPr>
        <w:t>Early warning alerts when a new merchant goes 14+ days without a transaction</w:t>
      </w:r>
    </w:p>
    <w:p w14:paraId="5C31839B" w14:textId="77777777" w:rsidR="00503CEC" w:rsidRDefault="00503CEC">
      <w:pPr>
        <w:spacing w:before="80"/>
      </w:pPr>
    </w:p>
    <w:p w14:paraId="7292AAEC" w14:textId="77777777" w:rsidR="00503CEC" w:rsidRDefault="00000000">
      <w:pPr>
        <w:spacing w:before="80" w:after="80"/>
      </w:pPr>
      <w:r>
        <w:rPr>
          <w:i/>
          <w:iCs/>
          <w:color w:val="2C5F8A"/>
        </w:rPr>
        <w:t xml:space="preserve">Expected impact: Reducing early churn </w:t>
      </w:r>
      <w:proofErr w:type="gramStart"/>
      <w:r>
        <w:rPr>
          <w:i/>
          <w:iCs/>
          <w:color w:val="2C5F8A"/>
        </w:rPr>
        <w:t>by even</w:t>
      </w:r>
      <w:proofErr w:type="gramEnd"/>
      <w:r>
        <w:rPr>
          <w:i/>
          <w:iCs/>
          <w:color w:val="2C5F8A"/>
        </w:rPr>
        <w:t xml:space="preserve"> 10% would retain ~100+ additional merchants per cohort.</w:t>
      </w:r>
    </w:p>
    <w:p w14:paraId="7FB402DC" w14:textId="77777777" w:rsidR="00503CEC" w:rsidRDefault="00503CEC">
      <w:pPr>
        <w:spacing w:before="120"/>
      </w:pPr>
    </w:p>
    <w:p w14:paraId="37DEBE1D" w14:textId="77777777" w:rsidR="00503CEC" w:rsidRDefault="00000000">
      <w:pPr>
        <w:pStyle w:val="Heading2"/>
      </w:pPr>
      <w:r>
        <w:t>2. Win-Back Campaign for High-Value Churned Merchants</w:t>
      </w:r>
    </w:p>
    <w:p w14:paraId="773032AD" w14:textId="77777777" w:rsidR="00503CEC" w:rsidRDefault="00000000">
      <w:pPr>
        <w:spacing w:before="80" w:after="80"/>
      </w:pPr>
      <w:r>
        <w:rPr>
          <w:color w:val="555555"/>
        </w:rPr>
        <w:t>Not all churned merchants are equal. Prioritize re-engagement efforts on merchants who had high historical spend before churning. A targeted win-back offer (discount, dedicated support, new product access) has a higher ROI than broad re-engagement campaigns.</w:t>
      </w:r>
    </w:p>
    <w:p w14:paraId="0F151661" w14:textId="77777777" w:rsidR="00503CEC" w:rsidRDefault="00503CEC">
      <w:pPr>
        <w:spacing w:before="80"/>
      </w:pPr>
    </w:p>
    <w:p w14:paraId="370840B6" w14:textId="77777777" w:rsidR="00503CEC" w:rsidRDefault="00000000">
      <w:pPr>
        <w:spacing w:before="80" w:after="80"/>
      </w:pPr>
      <w:r>
        <w:rPr>
          <w:i/>
          <w:iCs/>
          <w:color w:val="2C5F8A"/>
        </w:rPr>
        <w:t xml:space="preserve">Action: Export the list of churned merchants from Page 4 filtered by </w:t>
      </w:r>
      <w:proofErr w:type="spellStart"/>
      <w:r>
        <w:rPr>
          <w:i/>
          <w:iCs/>
          <w:color w:val="2C5F8A"/>
        </w:rPr>
        <w:t>Total_</w:t>
      </w:r>
      <w:proofErr w:type="gramStart"/>
      <w:r>
        <w:rPr>
          <w:i/>
          <w:iCs/>
          <w:color w:val="2C5F8A"/>
        </w:rPr>
        <w:t>Spend</w:t>
      </w:r>
      <w:proofErr w:type="spellEnd"/>
      <w:r>
        <w:rPr>
          <w:i/>
          <w:iCs/>
          <w:color w:val="2C5F8A"/>
        </w:rPr>
        <w:t>, and</w:t>
      </w:r>
      <w:proofErr w:type="gramEnd"/>
      <w:r>
        <w:rPr>
          <w:i/>
          <w:iCs/>
          <w:color w:val="2C5F8A"/>
        </w:rPr>
        <w:t xml:space="preserve"> reach out to those above a spend threshold.</w:t>
      </w:r>
    </w:p>
    <w:p w14:paraId="52A745CE" w14:textId="77777777" w:rsidR="00503CEC" w:rsidRDefault="00503CEC">
      <w:pPr>
        <w:spacing w:before="120"/>
      </w:pPr>
    </w:p>
    <w:p w14:paraId="762DD8CF" w14:textId="77777777" w:rsidR="00503CEC" w:rsidRDefault="00000000">
      <w:pPr>
        <w:pStyle w:val="Heading2"/>
      </w:pPr>
      <w:r>
        <w:t>3. Investigate and Replicate the Late 2011 Retention Improvement</w:t>
      </w:r>
    </w:p>
    <w:p w14:paraId="57E36965" w14:textId="77777777" w:rsidR="00503CEC" w:rsidRDefault="00000000">
      <w:pPr>
        <w:spacing w:before="80" w:after="80"/>
      </w:pPr>
      <w:r>
        <w:rPr>
          <w:color w:val="555555"/>
        </w:rPr>
        <w:t>The jump from ~35% retention in 2010 cohorts to 90–100% in late 2011 cohorts is the single most important finding in this project. There was clearly a change in onboarding, product, pricing, or support during this period.</w:t>
      </w:r>
    </w:p>
    <w:p w14:paraId="4A4F2C9F" w14:textId="77777777" w:rsidR="00503CEC" w:rsidRDefault="00503CEC">
      <w:pPr>
        <w:spacing w:before="80"/>
      </w:pPr>
    </w:p>
    <w:p w14:paraId="5A6F9CF0" w14:textId="77777777" w:rsidR="00503CEC" w:rsidRDefault="00000000">
      <w:pPr>
        <w:spacing w:before="80" w:after="80"/>
      </w:pPr>
      <w:r>
        <w:rPr>
          <w:i/>
          <w:iCs/>
          <w:color w:val="2C5F8A"/>
        </w:rPr>
        <w:t>Action: Interview the team members who managed merchant relationships in Q3-Q4 2011 and identify what changed. Document and scale those practices across all future merchant onboarding.</w:t>
      </w:r>
    </w:p>
    <w:p w14:paraId="06E4807A" w14:textId="77777777" w:rsidR="00503CEC" w:rsidRDefault="00503CEC">
      <w:pPr>
        <w:spacing w:before="120"/>
      </w:pPr>
    </w:p>
    <w:p w14:paraId="07218145" w14:textId="77777777" w:rsidR="00503CEC" w:rsidRDefault="00000000">
      <w:pPr>
        <w:pStyle w:val="Heading2"/>
      </w:pPr>
      <w:r>
        <w:t>4. Plan for November Seasonality</w:t>
      </w:r>
    </w:p>
    <w:p w14:paraId="2B68E958" w14:textId="77777777" w:rsidR="00503CEC" w:rsidRDefault="00000000">
      <w:pPr>
        <w:spacing w:before="80" w:after="80"/>
      </w:pPr>
      <w:r>
        <w:rPr>
          <w:color w:val="555555"/>
        </w:rPr>
        <w:t>Transaction volume consistently doubles in November both years. This is likely holiday-season driven demand. Capitalizing on this pattern requires advance preparation:</w:t>
      </w:r>
    </w:p>
    <w:p w14:paraId="72CC8E10" w14:textId="77777777" w:rsidR="00503CEC" w:rsidRDefault="00000000">
      <w:pPr>
        <w:pStyle w:val="ListParagraph"/>
        <w:numPr>
          <w:ilvl w:val="0"/>
          <w:numId w:val="2"/>
        </w:numPr>
        <w:spacing w:before="60" w:after="60"/>
      </w:pPr>
      <w:r>
        <w:rPr>
          <w:color w:val="555555"/>
        </w:rPr>
        <w:t>Ensure inventory and fulfillment capacity is in place by October</w:t>
      </w:r>
    </w:p>
    <w:p w14:paraId="2C72E563" w14:textId="77777777" w:rsidR="00503CEC" w:rsidRDefault="00000000">
      <w:pPr>
        <w:pStyle w:val="ListParagraph"/>
        <w:numPr>
          <w:ilvl w:val="0"/>
          <w:numId w:val="2"/>
        </w:numPr>
        <w:spacing w:before="60" w:after="60"/>
      </w:pPr>
      <w:r>
        <w:rPr>
          <w:color w:val="555555"/>
        </w:rPr>
        <w:t>Run promotional campaigns in October to prime merchants for November ordering</w:t>
      </w:r>
    </w:p>
    <w:p w14:paraId="241954E8" w14:textId="7C3F65A5" w:rsidR="00503CEC" w:rsidRDefault="00000000" w:rsidP="001C65F2">
      <w:pPr>
        <w:pStyle w:val="ListParagraph"/>
        <w:numPr>
          <w:ilvl w:val="0"/>
          <w:numId w:val="2"/>
        </w:numPr>
        <w:spacing w:before="60" w:after="60"/>
      </w:pPr>
      <w:r>
        <w:rPr>
          <w:color w:val="555555"/>
        </w:rPr>
        <w:t>Use the November spike as a re-engagement moment for dormant merchants</w:t>
      </w:r>
      <w:r>
        <w:br w:type="page"/>
      </w:r>
    </w:p>
    <w:p w14:paraId="7ADB1455" w14:textId="77777777" w:rsidR="00503CEC" w:rsidRDefault="00000000">
      <w:pPr>
        <w:pStyle w:val="Heading1"/>
      </w:pPr>
      <w:r>
        <w:lastRenderedPageBreak/>
        <w:t>Appendix A — Metrics Dictionary</w:t>
      </w:r>
    </w:p>
    <w:p w14:paraId="41A7E8BB" w14:textId="77777777" w:rsidR="00503CEC" w:rsidRDefault="00503CEC">
      <w:pPr>
        <w:pBdr>
          <w:bottom w:val="single" w:sz="4" w:space="1" w:color="D6E4F0"/>
        </w:pBdr>
        <w:spacing w:before="160" w:after="160"/>
      </w:pPr>
    </w:p>
    <w:p w14:paraId="61981E7B" w14:textId="77777777" w:rsidR="00503CEC" w:rsidRDefault="00000000">
      <w:pPr>
        <w:spacing w:before="80" w:after="80"/>
      </w:pPr>
      <w:r>
        <w:rPr>
          <w:color w:val="555555"/>
        </w:rPr>
        <w:t>The following table defines all key metrics used across the five dashboard pages. This dictionary is designed to ensure consistent interpretation of the data by all stakeholders.</w:t>
      </w:r>
    </w:p>
    <w:p w14:paraId="23D638A4" w14:textId="77777777" w:rsidR="00503CEC" w:rsidRDefault="00503CE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3400"/>
        <w:gridCol w:w="3160"/>
      </w:tblGrid>
      <w:tr w:rsidR="00503CEC" w14:paraId="27D0B76E"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C47AAE4" w14:textId="77777777" w:rsidR="00503CEC" w:rsidRDefault="00000000">
            <w:r>
              <w:rPr>
                <w:b/>
                <w:bCs/>
                <w:color w:val="FFFFFF"/>
                <w:sz w:val="20"/>
                <w:szCs w:val="20"/>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473D954" w14:textId="77777777" w:rsidR="00503CEC" w:rsidRDefault="00000000">
            <w:r>
              <w:rPr>
                <w:b/>
                <w:bCs/>
                <w:color w:val="FFFFFF"/>
                <w:sz w:val="20"/>
                <w:szCs w:val="20"/>
              </w:rPr>
              <w:t>Category</w:t>
            </w:r>
          </w:p>
        </w:tc>
        <w:tc>
          <w:tcPr>
            <w:tcW w:w="34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B651F97" w14:textId="77777777" w:rsidR="00503CEC" w:rsidRDefault="00000000">
            <w:r>
              <w:rPr>
                <w:b/>
                <w:bCs/>
                <w:color w:val="FFFFFF"/>
                <w:sz w:val="20"/>
                <w:szCs w:val="20"/>
              </w:rPr>
              <w:t>Definition</w:t>
            </w:r>
          </w:p>
        </w:tc>
        <w:tc>
          <w:tcPr>
            <w:tcW w:w="31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179C6E9" w14:textId="77777777" w:rsidR="00503CEC" w:rsidRDefault="00000000">
            <w:r>
              <w:rPr>
                <w:b/>
                <w:bCs/>
                <w:color w:val="FFFFFF"/>
                <w:sz w:val="20"/>
                <w:szCs w:val="20"/>
              </w:rPr>
              <w:t>Why It Matters</w:t>
            </w:r>
          </w:p>
        </w:tc>
      </w:tr>
      <w:tr w:rsidR="00503CEC" w14:paraId="734981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C830" w14:textId="77777777" w:rsidR="00503CEC" w:rsidRDefault="00000000">
            <w:r>
              <w:rPr>
                <w:b/>
                <w:bCs/>
                <w:color w:val="1A1A2E"/>
                <w:sz w:val="18"/>
                <w:szCs w:val="18"/>
              </w:rPr>
              <w:t>Churn Rate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18905" w14:textId="77777777" w:rsidR="00503CEC" w:rsidRDefault="00000000">
            <w:r>
              <w:rPr>
                <w:b/>
                <w:bCs/>
                <w:color w:val="C0392B"/>
                <w:sz w:val="18"/>
                <w:szCs w:val="18"/>
              </w:rPr>
              <w:t>Churn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4567" w14:textId="77777777" w:rsidR="00503CEC" w:rsidRDefault="00000000">
            <w:r>
              <w:rPr>
                <w:color w:val="1A1A2E"/>
                <w:sz w:val="18"/>
                <w:szCs w:val="18"/>
              </w:rPr>
              <w:t>% of merchants who stopped transacting. Calculated as: Churned Merchants ÷ Total Merchants.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7048" w14:textId="77777777" w:rsidR="00503CEC" w:rsidRDefault="00000000">
            <w:r>
              <w:rPr>
                <w:color w:val="1A1A2E"/>
                <w:sz w:val="18"/>
                <w:szCs w:val="18"/>
              </w:rPr>
              <w:t>Core health metric — high churn means losing customers faster than growing.</w:t>
            </w:r>
          </w:p>
        </w:tc>
      </w:tr>
      <w:tr w:rsidR="00503CEC" w14:paraId="55D8909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1A07E" w14:textId="77777777" w:rsidR="00503CEC" w:rsidRDefault="00000000">
            <w:r>
              <w:rPr>
                <w:b/>
                <w:bCs/>
                <w:color w:val="1A1A2E"/>
                <w:sz w:val="18"/>
                <w:szCs w:val="18"/>
              </w:rPr>
              <w:t>Retention Rate %</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6F456" w14:textId="77777777" w:rsidR="00503CEC" w:rsidRDefault="00000000">
            <w:r>
              <w:rPr>
                <w:b/>
                <w:bCs/>
                <w:color w:val="1E8449"/>
                <w:sz w:val="18"/>
                <w:szCs w:val="18"/>
              </w:rPr>
              <w:t>Retention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87D07" w14:textId="77777777" w:rsidR="00503CEC" w:rsidRDefault="00000000">
            <w:r>
              <w:rPr>
                <w:color w:val="1A1A2E"/>
                <w:sz w:val="18"/>
                <w:szCs w:val="18"/>
              </w:rPr>
              <w:t xml:space="preserve">% of merchants </w:t>
            </w:r>
            <w:proofErr w:type="gramStart"/>
            <w:r>
              <w:rPr>
                <w:color w:val="1A1A2E"/>
                <w:sz w:val="18"/>
                <w:szCs w:val="18"/>
              </w:rPr>
              <w:t>still</w:t>
            </w:r>
            <w:proofErr w:type="gramEnd"/>
            <w:r>
              <w:rPr>
                <w:color w:val="1A1A2E"/>
                <w:sz w:val="18"/>
                <w:szCs w:val="18"/>
              </w:rPr>
              <w:t xml:space="preserve"> active. Calculated as: Active Merchants ÷ Total Merchants.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1640F" w14:textId="77777777" w:rsidR="00503CEC" w:rsidRDefault="00000000">
            <w:r>
              <w:rPr>
                <w:color w:val="1A1A2E"/>
                <w:sz w:val="18"/>
                <w:szCs w:val="18"/>
              </w:rPr>
              <w:t>Opposite of churn — shows how well the business keeps its merchants.</w:t>
            </w:r>
          </w:p>
        </w:tc>
      </w:tr>
      <w:tr w:rsidR="00503CEC" w14:paraId="0D6C937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F64A4" w14:textId="77777777" w:rsidR="00503CEC" w:rsidRDefault="00000000">
            <w:r>
              <w:rPr>
                <w:b/>
                <w:bCs/>
                <w:color w:val="1A1A2E"/>
                <w:sz w:val="18"/>
                <w:szCs w:val="18"/>
              </w:rPr>
              <w:t>Active Merchant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4D07A" w14:textId="77777777" w:rsidR="00503CEC" w:rsidRDefault="00000000">
            <w:r>
              <w:rPr>
                <w:b/>
                <w:bCs/>
                <w:color w:val="2C5F8A"/>
                <w:sz w:val="18"/>
                <w:szCs w:val="18"/>
              </w:rPr>
              <w:t>Activity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EBD8D" w14:textId="77777777" w:rsidR="00503CEC" w:rsidRDefault="00000000">
            <w:r>
              <w:rPr>
                <w:color w:val="1A1A2E"/>
                <w:sz w:val="18"/>
                <w:szCs w:val="18"/>
              </w:rPr>
              <w:t>A merchant who has transacted within the observation period (</w:t>
            </w:r>
            <w:proofErr w:type="spellStart"/>
            <w:r>
              <w:rPr>
                <w:color w:val="1A1A2E"/>
                <w:sz w:val="18"/>
                <w:szCs w:val="18"/>
              </w:rPr>
              <w:t>Is_Active</w:t>
            </w:r>
            <w:proofErr w:type="spellEnd"/>
            <w:r>
              <w:rPr>
                <w:color w:val="1A1A2E"/>
                <w:sz w:val="18"/>
                <w:szCs w:val="18"/>
              </w:rPr>
              <w:t xml:space="preserve"> = True).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8CE9" w14:textId="77777777" w:rsidR="00503CEC" w:rsidRDefault="00000000">
            <w:r>
              <w:rPr>
                <w:color w:val="1A1A2E"/>
                <w:sz w:val="18"/>
                <w:szCs w:val="18"/>
              </w:rPr>
              <w:t xml:space="preserve">Defines who is still engaged </w:t>
            </w:r>
            <w:proofErr w:type="gramStart"/>
            <w:r>
              <w:rPr>
                <w:color w:val="1A1A2E"/>
                <w:sz w:val="18"/>
                <w:szCs w:val="18"/>
              </w:rPr>
              <w:t>with</w:t>
            </w:r>
            <w:proofErr w:type="gramEnd"/>
            <w:r>
              <w:rPr>
                <w:color w:val="1A1A2E"/>
                <w:sz w:val="18"/>
                <w:szCs w:val="18"/>
              </w:rPr>
              <w:t xml:space="preserve"> the business.</w:t>
            </w:r>
          </w:p>
        </w:tc>
      </w:tr>
      <w:tr w:rsidR="00503CEC" w14:paraId="6B8E1E1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15D39" w14:textId="77777777" w:rsidR="00503CEC" w:rsidRDefault="00000000">
            <w:r>
              <w:rPr>
                <w:b/>
                <w:bCs/>
                <w:color w:val="1A1A2E"/>
                <w:sz w:val="18"/>
                <w:szCs w:val="18"/>
              </w:rPr>
              <w:t>Churned Merchant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22142" w14:textId="77777777" w:rsidR="00503CEC" w:rsidRDefault="00000000">
            <w:r>
              <w:rPr>
                <w:b/>
                <w:bCs/>
                <w:color w:val="C0392B"/>
                <w:sz w:val="18"/>
                <w:szCs w:val="18"/>
              </w:rPr>
              <w:t>Churn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2BABD" w14:textId="77777777" w:rsidR="00503CEC" w:rsidRDefault="00000000">
            <w:r>
              <w:rPr>
                <w:color w:val="1A1A2E"/>
                <w:sz w:val="18"/>
                <w:szCs w:val="18"/>
              </w:rPr>
              <w:t>A merchant who has not transacted recently (</w:t>
            </w:r>
            <w:proofErr w:type="spellStart"/>
            <w:r>
              <w:rPr>
                <w:color w:val="1A1A2E"/>
                <w:sz w:val="18"/>
                <w:szCs w:val="18"/>
              </w:rPr>
              <w:t>Is_Active</w:t>
            </w:r>
            <w:proofErr w:type="spellEnd"/>
            <w:r>
              <w:rPr>
                <w:color w:val="1A1A2E"/>
                <w:sz w:val="18"/>
                <w:szCs w:val="18"/>
              </w:rPr>
              <w:t xml:space="preserve"> = False).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2D5BA" w14:textId="77777777" w:rsidR="00503CEC" w:rsidRDefault="00000000">
            <w:r>
              <w:rPr>
                <w:color w:val="1A1A2E"/>
                <w:sz w:val="18"/>
                <w:szCs w:val="18"/>
              </w:rPr>
              <w:t>Identifies lost customers who may need re-engagement campaigns.</w:t>
            </w:r>
          </w:p>
        </w:tc>
      </w:tr>
      <w:tr w:rsidR="00503CEC" w14:paraId="468CA2D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4D97B" w14:textId="77777777" w:rsidR="00503CEC" w:rsidRDefault="00000000">
            <w:r>
              <w:rPr>
                <w:b/>
                <w:bCs/>
                <w:color w:val="1A1A2E"/>
                <w:sz w:val="18"/>
                <w:szCs w:val="18"/>
              </w:rPr>
              <w:t>Tenure (Months)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1309" w14:textId="77777777" w:rsidR="00503CEC" w:rsidRDefault="00000000">
            <w:r>
              <w:rPr>
                <w:b/>
                <w:bCs/>
                <w:color w:val="2C5F8A"/>
                <w:sz w:val="18"/>
                <w:szCs w:val="18"/>
              </w:rPr>
              <w:t>Activity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0175" w14:textId="77777777" w:rsidR="00503CEC" w:rsidRDefault="00000000">
            <w:r>
              <w:rPr>
                <w:color w:val="1A1A2E"/>
                <w:sz w:val="18"/>
                <w:szCs w:val="18"/>
              </w:rPr>
              <w:t xml:space="preserve">How many months since a merchant's first transaction, derived from </w:t>
            </w:r>
            <w:proofErr w:type="spellStart"/>
            <w:r>
              <w:rPr>
                <w:color w:val="1A1A2E"/>
                <w:sz w:val="18"/>
                <w:szCs w:val="18"/>
              </w:rPr>
              <w:t>First_Transaction</w:t>
            </w:r>
            <w:proofErr w:type="spellEnd"/>
            <w:r>
              <w:rPr>
                <w:color w:val="1A1A2E"/>
                <w:sz w:val="18"/>
                <w:szCs w:val="18"/>
              </w:rPr>
              <w:t xml:space="preserve"> date.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C065" w14:textId="77777777" w:rsidR="00503CEC" w:rsidRDefault="00000000">
            <w:r>
              <w:rPr>
                <w:color w:val="1A1A2E"/>
                <w:sz w:val="18"/>
                <w:szCs w:val="18"/>
              </w:rPr>
              <w:t>Short tenure + churn = early dropout risk. Long tenure = higher loyalty signal.</w:t>
            </w:r>
          </w:p>
        </w:tc>
      </w:tr>
      <w:tr w:rsidR="00503CEC" w14:paraId="3386BA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F8B70" w14:textId="77777777" w:rsidR="00503CEC" w:rsidRDefault="00000000">
            <w:r>
              <w:rPr>
                <w:b/>
                <w:bCs/>
                <w:color w:val="1A1A2E"/>
                <w:sz w:val="18"/>
                <w:szCs w:val="18"/>
              </w:rPr>
              <w:t>Days Since Last 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51B29" w14:textId="77777777" w:rsidR="00503CEC" w:rsidRDefault="00000000">
            <w:r>
              <w:rPr>
                <w:b/>
                <w:bCs/>
                <w:color w:val="C0392B"/>
                <w:sz w:val="18"/>
                <w:szCs w:val="18"/>
              </w:rPr>
              <w:t>Churn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FB4B6" w14:textId="77777777" w:rsidR="00503CEC" w:rsidRDefault="00000000">
            <w:r>
              <w:rPr>
                <w:color w:val="1A1A2E"/>
                <w:sz w:val="18"/>
                <w:szCs w:val="18"/>
              </w:rPr>
              <w:t>Number of days since the merchant last placed an order.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4622B" w14:textId="77777777" w:rsidR="00503CEC" w:rsidRDefault="00000000">
            <w:r>
              <w:rPr>
                <w:color w:val="1A1A2E"/>
                <w:sz w:val="18"/>
                <w:szCs w:val="18"/>
              </w:rPr>
              <w:t>Key churn signal — the higher this number, the more at-risk the merchant.</w:t>
            </w:r>
          </w:p>
        </w:tc>
      </w:tr>
      <w:tr w:rsidR="00503CEC" w14:paraId="1FE05FD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938A" w14:textId="77777777" w:rsidR="00503CEC" w:rsidRDefault="00000000">
            <w:r>
              <w:rPr>
                <w:b/>
                <w:bCs/>
                <w:color w:val="1A1A2E"/>
                <w:sz w:val="18"/>
                <w:szCs w:val="18"/>
              </w:rPr>
              <w:t>Avg Order Value (AOV)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0843" w14:textId="77777777" w:rsidR="00503CEC" w:rsidRDefault="00000000">
            <w:r>
              <w:rPr>
                <w:b/>
                <w:bCs/>
                <w:color w:val="E67E22"/>
                <w:sz w:val="18"/>
                <w:szCs w:val="18"/>
              </w:rPr>
              <w:t>Value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BC85" w14:textId="77777777" w:rsidR="00503CEC" w:rsidRDefault="00000000">
            <w:r>
              <w:rPr>
                <w:color w:val="1A1A2E"/>
                <w:sz w:val="18"/>
                <w:szCs w:val="18"/>
              </w:rPr>
              <w:t xml:space="preserve">Average </w:t>
            </w:r>
            <w:proofErr w:type="gramStart"/>
            <w:r>
              <w:rPr>
                <w:color w:val="1A1A2E"/>
                <w:sz w:val="18"/>
                <w:szCs w:val="18"/>
              </w:rPr>
              <w:t>spend</w:t>
            </w:r>
            <w:proofErr w:type="gramEnd"/>
            <w:r>
              <w:rPr>
                <w:color w:val="1A1A2E"/>
                <w:sz w:val="18"/>
                <w:szCs w:val="18"/>
              </w:rPr>
              <w:t xml:space="preserve"> per transaction for a merchant. Calculated as: Total Spend ÷ Total Transactions.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0D6A" w14:textId="77777777" w:rsidR="00503CEC" w:rsidRDefault="00000000">
            <w:r>
              <w:rPr>
                <w:color w:val="1A1A2E"/>
                <w:sz w:val="18"/>
                <w:szCs w:val="18"/>
              </w:rPr>
              <w:t>High AOV merchants are more valuable even if fewer in total number.</w:t>
            </w:r>
          </w:p>
        </w:tc>
      </w:tr>
      <w:tr w:rsidR="00503CEC" w14:paraId="43BBC6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9AE1E" w14:textId="77777777" w:rsidR="00503CEC" w:rsidRDefault="00000000">
            <w:r>
              <w:rPr>
                <w:b/>
                <w:bCs/>
                <w:color w:val="1A1A2E"/>
                <w:sz w:val="18"/>
                <w:szCs w:val="18"/>
              </w:rPr>
              <w:t>Cohort Month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9AE22" w14:textId="77777777" w:rsidR="00503CEC" w:rsidRDefault="00000000">
            <w:r>
              <w:rPr>
                <w:b/>
                <w:bCs/>
                <w:color w:val="1E8449"/>
                <w:sz w:val="18"/>
                <w:szCs w:val="18"/>
              </w:rPr>
              <w:t>Retention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A244C" w14:textId="77777777" w:rsidR="00503CEC" w:rsidRDefault="00000000">
            <w:r>
              <w:rPr>
                <w:color w:val="1A1A2E"/>
                <w:sz w:val="18"/>
                <w:szCs w:val="18"/>
              </w:rPr>
              <w:t>The month a merchant placed their first transaction — used to group merchants by joining period.</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F3833" w14:textId="77777777" w:rsidR="00503CEC" w:rsidRDefault="00000000">
            <w:r>
              <w:rPr>
                <w:color w:val="1A1A2E"/>
                <w:sz w:val="18"/>
                <w:szCs w:val="18"/>
              </w:rPr>
              <w:t>Allows comparison of retention across different periods to spot onboarding improvements.</w:t>
            </w:r>
          </w:p>
        </w:tc>
      </w:tr>
    </w:tbl>
    <w:p w14:paraId="15A91905" w14:textId="77777777" w:rsidR="00503CEC" w:rsidRDefault="00503CEC">
      <w:pPr>
        <w:spacing w:before="200"/>
      </w:pPr>
    </w:p>
    <w:p w14:paraId="13318ED0" w14:textId="77777777" w:rsidR="00503CEC" w:rsidRDefault="00000000">
      <w:pPr>
        <w:spacing w:before="80" w:after="80"/>
      </w:pPr>
      <w:r>
        <w:rPr>
          <w:i/>
          <w:iCs/>
          <w:color w:val="555555"/>
        </w:rPr>
        <w:t xml:space="preserve">All metrics are calculated in Power BI using DAX measures stored in the _Musers table. Source data is loaded from four CSV files: </w:t>
      </w:r>
      <w:proofErr w:type="spellStart"/>
      <w:r>
        <w:rPr>
          <w:i/>
          <w:iCs/>
          <w:color w:val="555555"/>
        </w:rPr>
        <w:t>merchant_level</w:t>
      </w:r>
      <w:proofErr w:type="spellEnd"/>
      <w:r>
        <w:rPr>
          <w:i/>
          <w:iCs/>
          <w:color w:val="555555"/>
        </w:rPr>
        <w:t xml:space="preserve">, </w:t>
      </w:r>
      <w:proofErr w:type="spellStart"/>
      <w:r>
        <w:rPr>
          <w:i/>
          <w:iCs/>
          <w:color w:val="555555"/>
        </w:rPr>
        <w:t>transactions_clean</w:t>
      </w:r>
      <w:proofErr w:type="spellEnd"/>
      <w:r>
        <w:rPr>
          <w:i/>
          <w:iCs/>
          <w:color w:val="555555"/>
        </w:rPr>
        <w:t xml:space="preserve">, </w:t>
      </w:r>
      <w:proofErr w:type="spellStart"/>
      <w:r>
        <w:rPr>
          <w:i/>
          <w:iCs/>
          <w:color w:val="555555"/>
        </w:rPr>
        <w:t>cohort_retention</w:t>
      </w:r>
      <w:proofErr w:type="spellEnd"/>
      <w:r>
        <w:rPr>
          <w:i/>
          <w:iCs/>
          <w:color w:val="555555"/>
        </w:rPr>
        <w:t xml:space="preserve">, and </w:t>
      </w:r>
      <w:proofErr w:type="spellStart"/>
      <w:r>
        <w:rPr>
          <w:i/>
          <w:iCs/>
          <w:color w:val="555555"/>
        </w:rPr>
        <w:t>monthly_activity</w:t>
      </w:r>
      <w:proofErr w:type="spellEnd"/>
      <w:r>
        <w:rPr>
          <w:i/>
          <w:iCs/>
          <w:color w:val="555555"/>
        </w:rPr>
        <w:t>.</w:t>
      </w:r>
    </w:p>
    <w:sectPr w:rsidR="00503CEC">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CC52D" w14:textId="77777777" w:rsidR="00BA30A9" w:rsidRDefault="00BA30A9">
      <w:r>
        <w:separator/>
      </w:r>
    </w:p>
  </w:endnote>
  <w:endnote w:type="continuationSeparator" w:id="0">
    <w:p w14:paraId="4AB39108" w14:textId="77777777" w:rsidR="00BA30A9" w:rsidRDefault="00BA3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607411"/>
      <w:docPartObj>
        <w:docPartGallery w:val="Page Numbers (Bottom of Page)"/>
        <w:docPartUnique/>
      </w:docPartObj>
    </w:sdtPr>
    <w:sdtEndPr>
      <w:rPr>
        <w:color w:val="7F7F7F" w:themeColor="background1" w:themeShade="7F"/>
        <w:spacing w:val="60"/>
      </w:rPr>
    </w:sdtEndPr>
    <w:sdtContent>
      <w:p w14:paraId="20193560" w14:textId="799412FA" w:rsidR="00E53F50" w:rsidRDefault="00E53F5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F80499D" w14:textId="1DE61DFD" w:rsidR="00503CEC" w:rsidRDefault="00503CEC">
    <w:pPr>
      <w:pBdr>
        <w:top w:val="single" w:sz="4" w:space="1" w:color="D6E4F0"/>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A16CF" w14:textId="77777777" w:rsidR="00BA30A9" w:rsidRDefault="00BA30A9">
      <w:r>
        <w:separator/>
      </w:r>
    </w:p>
  </w:footnote>
  <w:footnote w:type="continuationSeparator" w:id="0">
    <w:p w14:paraId="27FD1E1E" w14:textId="77777777" w:rsidR="00BA30A9" w:rsidRDefault="00BA3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A223" w14:textId="77777777" w:rsidR="00503CEC" w:rsidRDefault="00000000">
    <w:pPr>
      <w:pBdr>
        <w:bottom w:val="single" w:sz="4" w:space="1" w:color="2C5F8A"/>
      </w:pBdr>
      <w:spacing w:after="80"/>
    </w:pPr>
    <w:r>
      <w:rPr>
        <w:b/>
        <w:bCs/>
        <w:color w:val="2C5F8A"/>
        <w:sz w:val="18"/>
        <w:szCs w:val="18"/>
      </w:rPr>
      <w:t>Merchant Churn &amp; Retention Analysis</w:t>
    </w:r>
    <w:r>
      <w:rPr>
        <w:color w:val="555555"/>
        <w:sz w:val="18"/>
        <w:szCs w:val="18"/>
      </w:rPr>
      <w:t xml:space="preserve">   |   Power BI Dashboard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F54C6"/>
    <w:multiLevelType w:val="hybridMultilevel"/>
    <w:tmpl w:val="83FA7966"/>
    <w:lvl w:ilvl="0" w:tplc="BB12473A">
      <w:start w:val="1"/>
      <w:numFmt w:val="bullet"/>
      <w:lvlText w:val="●"/>
      <w:lvlJc w:val="left"/>
      <w:pPr>
        <w:ind w:left="720" w:hanging="360"/>
      </w:pPr>
    </w:lvl>
    <w:lvl w:ilvl="1" w:tplc="118A470A">
      <w:start w:val="1"/>
      <w:numFmt w:val="bullet"/>
      <w:lvlText w:val="○"/>
      <w:lvlJc w:val="left"/>
      <w:pPr>
        <w:ind w:left="1440" w:hanging="360"/>
      </w:pPr>
    </w:lvl>
    <w:lvl w:ilvl="2" w:tplc="C7E41BBC">
      <w:start w:val="1"/>
      <w:numFmt w:val="bullet"/>
      <w:lvlText w:val="■"/>
      <w:lvlJc w:val="left"/>
      <w:pPr>
        <w:ind w:left="2160" w:hanging="360"/>
      </w:pPr>
    </w:lvl>
    <w:lvl w:ilvl="3" w:tplc="433A6D90">
      <w:start w:val="1"/>
      <w:numFmt w:val="bullet"/>
      <w:lvlText w:val="●"/>
      <w:lvlJc w:val="left"/>
      <w:pPr>
        <w:ind w:left="2880" w:hanging="360"/>
      </w:pPr>
    </w:lvl>
    <w:lvl w:ilvl="4" w:tplc="B5EA4136">
      <w:start w:val="1"/>
      <w:numFmt w:val="bullet"/>
      <w:lvlText w:val="○"/>
      <w:lvlJc w:val="left"/>
      <w:pPr>
        <w:ind w:left="3600" w:hanging="360"/>
      </w:pPr>
    </w:lvl>
    <w:lvl w:ilvl="5" w:tplc="2974A5A8">
      <w:start w:val="1"/>
      <w:numFmt w:val="bullet"/>
      <w:lvlText w:val="■"/>
      <w:lvlJc w:val="left"/>
      <w:pPr>
        <w:ind w:left="4320" w:hanging="360"/>
      </w:pPr>
    </w:lvl>
    <w:lvl w:ilvl="6" w:tplc="8AB25FCC">
      <w:start w:val="1"/>
      <w:numFmt w:val="bullet"/>
      <w:lvlText w:val="●"/>
      <w:lvlJc w:val="left"/>
      <w:pPr>
        <w:ind w:left="5040" w:hanging="360"/>
      </w:pPr>
    </w:lvl>
    <w:lvl w:ilvl="7" w:tplc="81F64D32">
      <w:start w:val="1"/>
      <w:numFmt w:val="bullet"/>
      <w:lvlText w:val="●"/>
      <w:lvlJc w:val="left"/>
      <w:pPr>
        <w:ind w:left="5760" w:hanging="360"/>
      </w:pPr>
    </w:lvl>
    <w:lvl w:ilvl="8" w:tplc="FA1A80E8">
      <w:start w:val="1"/>
      <w:numFmt w:val="bullet"/>
      <w:lvlText w:val="●"/>
      <w:lvlJc w:val="left"/>
      <w:pPr>
        <w:ind w:left="6480" w:hanging="360"/>
      </w:pPr>
    </w:lvl>
  </w:abstractNum>
  <w:abstractNum w:abstractNumId="1" w15:restartNumberingAfterBreak="0">
    <w:nsid w:val="70374098"/>
    <w:multiLevelType w:val="hybridMultilevel"/>
    <w:tmpl w:val="91FE44F4"/>
    <w:lvl w:ilvl="0" w:tplc="A1E07F1E">
      <w:start w:val="1"/>
      <w:numFmt w:val="decimal"/>
      <w:lvlText w:val="%1."/>
      <w:lvlJc w:val="left"/>
      <w:pPr>
        <w:ind w:left="720" w:hanging="360"/>
      </w:pPr>
    </w:lvl>
    <w:lvl w:ilvl="1" w:tplc="1414A4BE">
      <w:numFmt w:val="decimal"/>
      <w:lvlText w:val=""/>
      <w:lvlJc w:val="left"/>
    </w:lvl>
    <w:lvl w:ilvl="2" w:tplc="B4E4478A">
      <w:numFmt w:val="decimal"/>
      <w:lvlText w:val=""/>
      <w:lvlJc w:val="left"/>
    </w:lvl>
    <w:lvl w:ilvl="3" w:tplc="0DAA8960">
      <w:numFmt w:val="decimal"/>
      <w:lvlText w:val=""/>
      <w:lvlJc w:val="left"/>
    </w:lvl>
    <w:lvl w:ilvl="4" w:tplc="ACAE1B9A">
      <w:numFmt w:val="decimal"/>
      <w:lvlText w:val=""/>
      <w:lvlJc w:val="left"/>
    </w:lvl>
    <w:lvl w:ilvl="5" w:tplc="655E4280">
      <w:numFmt w:val="decimal"/>
      <w:lvlText w:val=""/>
      <w:lvlJc w:val="left"/>
    </w:lvl>
    <w:lvl w:ilvl="6" w:tplc="895035E2">
      <w:numFmt w:val="decimal"/>
      <w:lvlText w:val=""/>
      <w:lvlJc w:val="left"/>
    </w:lvl>
    <w:lvl w:ilvl="7" w:tplc="8B84D580">
      <w:numFmt w:val="decimal"/>
      <w:lvlText w:val=""/>
      <w:lvlJc w:val="left"/>
    </w:lvl>
    <w:lvl w:ilvl="8" w:tplc="4C245B1C">
      <w:numFmt w:val="decimal"/>
      <w:lvlText w:val=""/>
      <w:lvlJc w:val="left"/>
    </w:lvl>
  </w:abstractNum>
  <w:abstractNum w:abstractNumId="2" w15:restartNumberingAfterBreak="0">
    <w:nsid w:val="706356DC"/>
    <w:multiLevelType w:val="hybridMultilevel"/>
    <w:tmpl w:val="1408EA86"/>
    <w:lvl w:ilvl="0" w:tplc="C1568CEE">
      <w:start w:val="1"/>
      <w:numFmt w:val="bullet"/>
      <w:lvlText w:val="•"/>
      <w:lvlJc w:val="left"/>
      <w:pPr>
        <w:ind w:left="720" w:hanging="360"/>
      </w:pPr>
    </w:lvl>
    <w:lvl w:ilvl="1" w:tplc="1F9E475E">
      <w:numFmt w:val="decimal"/>
      <w:lvlText w:val=""/>
      <w:lvlJc w:val="left"/>
    </w:lvl>
    <w:lvl w:ilvl="2" w:tplc="58C03722">
      <w:numFmt w:val="decimal"/>
      <w:lvlText w:val=""/>
      <w:lvlJc w:val="left"/>
    </w:lvl>
    <w:lvl w:ilvl="3" w:tplc="94982CC8">
      <w:numFmt w:val="decimal"/>
      <w:lvlText w:val=""/>
      <w:lvlJc w:val="left"/>
    </w:lvl>
    <w:lvl w:ilvl="4" w:tplc="73703222">
      <w:numFmt w:val="decimal"/>
      <w:lvlText w:val=""/>
      <w:lvlJc w:val="left"/>
    </w:lvl>
    <w:lvl w:ilvl="5" w:tplc="948AFEC2">
      <w:numFmt w:val="decimal"/>
      <w:lvlText w:val=""/>
      <w:lvlJc w:val="left"/>
    </w:lvl>
    <w:lvl w:ilvl="6" w:tplc="086C71AE">
      <w:numFmt w:val="decimal"/>
      <w:lvlText w:val=""/>
      <w:lvlJc w:val="left"/>
    </w:lvl>
    <w:lvl w:ilvl="7" w:tplc="9384D0E6">
      <w:numFmt w:val="decimal"/>
      <w:lvlText w:val=""/>
      <w:lvlJc w:val="left"/>
    </w:lvl>
    <w:lvl w:ilvl="8" w:tplc="7FFA080C">
      <w:numFmt w:val="decimal"/>
      <w:lvlText w:val=""/>
      <w:lvlJc w:val="left"/>
    </w:lvl>
  </w:abstractNum>
  <w:num w:numId="1" w16cid:durableId="1018313463">
    <w:abstractNumId w:val="0"/>
    <w:lvlOverride w:ilvl="0">
      <w:startOverride w:val="1"/>
    </w:lvlOverride>
  </w:num>
  <w:num w:numId="2" w16cid:durableId="3626367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CEC"/>
    <w:rsid w:val="0006487A"/>
    <w:rsid w:val="001C65F2"/>
    <w:rsid w:val="001D0E01"/>
    <w:rsid w:val="00365E51"/>
    <w:rsid w:val="00442AE7"/>
    <w:rsid w:val="00503CEC"/>
    <w:rsid w:val="0099794D"/>
    <w:rsid w:val="00BA30A9"/>
    <w:rsid w:val="00D422CE"/>
    <w:rsid w:val="00E53F50"/>
    <w:rsid w:val="00F06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89D5C"/>
  <w15:docId w15:val="{0FB25BBF-02A1-4792-95D3-FE8E7119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94D"/>
  </w:style>
  <w:style w:type="paragraph" w:styleId="Heading1">
    <w:name w:val="heading 1"/>
    <w:uiPriority w:val="9"/>
    <w:qFormat/>
    <w:pPr>
      <w:spacing w:before="320" w:after="160"/>
      <w:outlineLvl w:val="0"/>
    </w:pPr>
    <w:rPr>
      <w:b/>
      <w:bCs/>
      <w:color w:val="2C5F8A"/>
      <w:sz w:val="36"/>
      <w:szCs w:val="36"/>
    </w:rPr>
  </w:style>
  <w:style w:type="paragraph" w:styleId="Heading2">
    <w:name w:val="heading 2"/>
    <w:uiPriority w:val="9"/>
    <w:unhideWhenUsed/>
    <w:qFormat/>
    <w:pPr>
      <w:spacing w:before="240" w:after="12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3F50"/>
    <w:pPr>
      <w:tabs>
        <w:tab w:val="center" w:pos="4680"/>
        <w:tab w:val="right" w:pos="9360"/>
      </w:tabs>
    </w:pPr>
  </w:style>
  <w:style w:type="character" w:customStyle="1" w:styleId="HeaderChar">
    <w:name w:val="Header Char"/>
    <w:basedOn w:val="DefaultParagraphFont"/>
    <w:link w:val="Header"/>
    <w:uiPriority w:val="99"/>
    <w:rsid w:val="00E53F50"/>
  </w:style>
  <w:style w:type="paragraph" w:styleId="Footer">
    <w:name w:val="footer"/>
    <w:basedOn w:val="Normal"/>
    <w:link w:val="FooterChar"/>
    <w:uiPriority w:val="99"/>
    <w:unhideWhenUsed/>
    <w:rsid w:val="00E53F50"/>
    <w:pPr>
      <w:tabs>
        <w:tab w:val="center" w:pos="4680"/>
        <w:tab w:val="right" w:pos="9360"/>
      </w:tabs>
    </w:pPr>
  </w:style>
  <w:style w:type="character" w:customStyle="1" w:styleId="FooterChar">
    <w:name w:val="Footer Char"/>
    <w:basedOn w:val="DefaultParagraphFont"/>
    <w:link w:val="Footer"/>
    <w:uiPriority w:val="99"/>
    <w:rsid w:val="00E53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Fadwa Ramadan</cp:lastModifiedBy>
  <cp:revision>3</cp:revision>
  <dcterms:created xsi:type="dcterms:W3CDTF">2026-06-04T10:34:00Z</dcterms:created>
  <dcterms:modified xsi:type="dcterms:W3CDTF">2026-06-07T13:57:00Z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d44273ba-2b01-4fba-989e-a4c763f01c32</vt:lpwstr>
  </property>
</Properties>
</file>