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UK River Flow Data — User Guide</w:t>
      </w:r>
    </w:p>
    <w:p>
      <w:pPr>
        <w:spacing w:after="300"/>
      </w:pPr>
      <w:r>
        <w:rPr>
          <w:rFonts w:ascii="Calibri" w:cs="Calibri" w:eastAsia="Calibri" w:hAnsi="Calibri"/>
          <w:i/>
          <w:iCs/>
          <w:color w:val="555555"/>
          <w:sz w:val="24"/>
          <w:szCs w:val="24"/>
        </w:rPr>
        <w:t xml:space="preserve">GR6J and G2G hydrology data, prepared for the Freshwater Digital Twin project</w:t>
      </w:r>
    </w:p>
    <w:p>
      <w:pPr>
        <w:pStyle w:val="Heading1"/>
        <w:spacing w:after="160" w:before="300"/>
      </w:pPr>
      <w:r>
        <w:t xml:space="preserve">1. What This Is</w:t>
      </w:r>
    </w:p>
    <w:p>
      <w:pPr>
        <w:spacing w:after="160"/>
      </w:pPr>
      <w:r>
        <w:rPr>
          <w:rFonts w:ascii="Calibri" w:cs="Calibri" w:eastAsia="Calibri" w:hAnsi="Calibri"/>
          <w:b w:val="false"/>
          <w:bCs w:val="false"/>
          <w:i w:val="false"/>
          <w:iCs w:val="false"/>
          <w:sz w:val="22"/>
          <w:szCs w:val="22"/>
        </w:rPr>
        <w:t xml:space="preserve">This package contains daily river flow data for 200 gauging stations across Great Britain and Northern Ireland. It comes from a dataset called eFLaG, published by UKCEH (the UK Centre for Ecology and Hydrology), BGS, and HR Wallingford. You do not need a background in hydrology or programming to use it, this guide explains everything in plain terms.</w:t>
      </w:r>
    </w:p>
    <w:p>
      <w:pPr>
        <w:spacing w:after="160"/>
      </w:pPr>
      <w:r>
        <w:rPr>
          <w:rFonts w:ascii="Calibri" w:cs="Calibri" w:eastAsia="Calibri" w:hAnsi="Calibri"/>
          <w:b w:val="false"/>
          <w:bCs w:val="false"/>
          <w:i w:val="false"/>
          <w:iCs w:val="false"/>
          <w:sz w:val="22"/>
          <w:szCs w:val="22"/>
        </w:rPr>
        <w:t xml:space="preserve">River flow means how much water is moving through a river at a given point, measured in cubic metres per second (m³/s). This data gives you that number for every day, at 200 real locations, going back to 1963.</w:t>
      </w:r>
    </w:p>
    <w:p>
      <w:pPr>
        <w:spacing w:after="160"/>
      </w:pPr>
      <w:r>
        <w:rPr>
          <w:rFonts w:ascii="Calibri" w:cs="Calibri" w:eastAsia="Calibri" w:hAnsi="Calibri"/>
          <w:b w:val="false"/>
          <w:bCs w:val="false"/>
          <w:i w:val="false"/>
          <w:iCs w:val="false"/>
          <w:sz w:val="22"/>
          <w:szCs w:val="22"/>
        </w:rPr>
        <w:t xml:space="preserve">Two things make this data more useful than a simple measurement history: it also includes computer model estimates of flow, which fill in gaps and extend the record into the future, and it comes from two different modelling approaches, which this guide compares directly.</w:t>
      </w:r>
    </w:p>
    <w:p>
      <w:pPr>
        <w:spacing w:after="160"/>
      </w:pPr>
      <w:r>
        <w:rPr>
          <w:rFonts w:ascii="Calibri" w:cs="Calibri" w:eastAsia="Calibri" w:hAnsi="Calibri"/>
          <w:b w:val="false"/>
          <w:bCs w:val="false"/>
          <w:i/>
          <w:iCs/>
          <w:sz w:val="22"/>
          <w:szCs w:val="22"/>
        </w:rPr>
        <w:t xml:space="preserve">A scope note: eFLaG is a larger dataset than what's included here. It also covers groundwater levels (54 boreholes) and groundwater recharge (558 groundwater bodies) across the UK. This package covers river flow only.</w:t>
      </w:r>
    </w:p>
    <w:p>
      <w:pPr>
        <w:pStyle w:val="Heading1"/>
        <w:spacing w:after="160" w:before="300"/>
      </w:pPr>
      <w:r>
        <w:t xml:space="preserve">2. What's In This Package</w:t>
      </w:r>
    </w:p>
    <w:p>
      <w:pPr>
        <w:spacing w:after="160"/>
      </w:pPr>
      <w:r>
        <w:rPr>
          <w:rFonts w:ascii="Calibri" w:cs="Calibri" w:eastAsia="Calibri" w:hAnsi="Calibri"/>
          <w:b w:val="false"/>
          <w:bCs w:val="false"/>
          <w:i w:val="false"/>
          <w:iCs w:val="false"/>
          <w:sz w:val="22"/>
          <w:szCs w:val="22"/>
        </w:rPr>
        <w:t xml:space="preserve">Seven files, described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4400"/>
        <w:gridCol w:w="750"/>
      </w:tblGrid>
      <w:tr>
        <w:tc>
          <w:tcPr>
            <w:tcW w:type="dxa" w:w="4200"/>
            <w:shd w:fill="1F4E78" w:val="clear"/>
          </w:tcPr>
          <w:p>
            <w:r>
              <w:rPr>
                <w:rFonts w:ascii="Calibri" w:cs="Calibri" w:eastAsia="Calibri" w:hAnsi="Calibri"/>
                <w:b/>
                <w:bCs/>
                <w:color w:val="FFFFFF"/>
                <w:sz w:val="20"/>
                <w:szCs w:val="20"/>
              </w:rPr>
              <w:t xml:space="preserve">File</w:t>
            </w:r>
          </w:p>
        </w:tc>
        <w:tc>
          <w:tcPr>
            <w:tcW w:type="dxa" w:w="4400"/>
            <w:shd w:fill="1F4E78" w:val="clear"/>
          </w:tcPr>
          <w:p>
            <w:r>
              <w:rPr>
                <w:rFonts w:ascii="Calibri" w:cs="Calibri" w:eastAsia="Calibri" w:hAnsi="Calibri"/>
                <w:b/>
                <w:bCs/>
                <w:color w:val="FFFFFF"/>
                <w:sz w:val="20"/>
                <w:szCs w:val="20"/>
              </w:rPr>
              <w:t xml:space="preserve">What it is</w:t>
            </w:r>
          </w:p>
        </w:tc>
        <w:tc>
          <w:tcPr>
            <w:tcW w:type="dxa" w:w="750"/>
            <w:shd w:fill="1F4E78" w:val="clear"/>
          </w:tcPr>
          <w:p>
            <w:r>
              <w:rPr>
                <w:rFonts w:ascii="Calibri" w:cs="Calibri" w:eastAsia="Calibri" w:hAnsi="Calibri"/>
                <w:b/>
                <w:bCs/>
                <w:color w:val="FFFFFF"/>
                <w:sz w:val="20"/>
                <w:szCs w:val="20"/>
              </w:rPr>
              <w:t xml:space="preserve">Rows</w:t>
            </w:r>
          </w:p>
        </w:tc>
      </w:tr>
      <w:tr>
        <w:tc>
          <w:tcPr>
            <w:tcW w:type="dxa" w:w="4200"/>
          </w:tcPr>
          <w:p>
            <w:r>
              <w:rPr>
                <w:rFonts w:ascii="Calibri" w:cs="Calibri" w:eastAsia="Calibri" w:hAnsi="Calibri"/>
                <w:b w:val="false"/>
                <w:bCs w:val="false"/>
                <w:color w:val="000000"/>
                <w:sz w:val="20"/>
                <w:szCs w:val="20"/>
              </w:rPr>
              <w:t xml:space="preserve">gr6j_all_catchments_clean.csv</w:t>
            </w:r>
          </w:p>
        </w:tc>
        <w:tc>
          <w:tcPr>
            <w:tcW w:type="dxa" w:w="4400"/>
          </w:tcPr>
          <w:p>
            <w:r>
              <w:rPr>
                <w:rFonts w:ascii="Calibri" w:cs="Calibri" w:eastAsia="Calibri" w:hAnsi="Calibri"/>
                <w:b w:val="false"/>
                <w:bCs w:val="false"/>
                <w:color w:val="000000"/>
                <w:sz w:val="20"/>
                <w:szCs w:val="20"/>
              </w:rPr>
              <w:t xml:space="preserve">Real-history flow data (1963–2018), GR6J model</w:t>
            </w:r>
          </w:p>
        </w:tc>
        <w:tc>
          <w:tcPr>
            <w:tcW w:type="dxa" w:w="750"/>
          </w:tcPr>
          <w:p>
            <w:r>
              <w:rPr>
                <w:rFonts w:ascii="Calibri" w:cs="Calibri" w:eastAsia="Calibri" w:hAnsi="Calibri"/>
                <w:b w:val="false"/>
                <w:bCs w:val="false"/>
                <w:color w:val="000000"/>
                <w:sz w:val="20"/>
                <w:szCs w:val="20"/>
              </w:rPr>
              <w:t xml:space="preserve">4,090,800</w:t>
            </w:r>
          </w:p>
        </w:tc>
      </w:tr>
      <w:tr>
        <w:tc>
          <w:tcPr>
            <w:tcW w:type="dxa" w:w="4200"/>
          </w:tcPr>
          <w:p>
            <w:r>
              <w:rPr>
                <w:rFonts w:ascii="Calibri" w:cs="Calibri" w:eastAsia="Calibri" w:hAnsi="Calibri"/>
                <w:b w:val="false"/>
                <w:bCs w:val="false"/>
                <w:color w:val="000000"/>
                <w:sz w:val="20"/>
                <w:szCs w:val="20"/>
              </w:rPr>
              <w:t xml:space="preserve">g2g_all_catchments_clean.csv</w:t>
            </w:r>
          </w:p>
        </w:tc>
        <w:tc>
          <w:tcPr>
            <w:tcW w:type="dxa" w:w="4400"/>
          </w:tcPr>
          <w:p>
            <w:r>
              <w:rPr>
                <w:rFonts w:ascii="Calibri" w:cs="Calibri" w:eastAsia="Calibri" w:hAnsi="Calibri"/>
                <w:b w:val="false"/>
                <w:bCs w:val="false"/>
                <w:color w:val="000000"/>
                <w:sz w:val="20"/>
                <w:szCs w:val="20"/>
              </w:rPr>
              <w:t xml:space="preserve">Real-history flow data (1963–2018), G2G model</w:t>
            </w:r>
          </w:p>
        </w:tc>
        <w:tc>
          <w:tcPr>
            <w:tcW w:type="dxa" w:w="750"/>
          </w:tcPr>
          <w:p>
            <w:r>
              <w:rPr>
                <w:rFonts w:ascii="Calibri" w:cs="Calibri" w:eastAsia="Calibri" w:hAnsi="Calibri"/>
                <w:b w:val="false"/>
                <w:bCs w:val="false"/>
                <w:color w:val="000000"/>
                <w:sz w:val="20"/>
                <w:szCs w:val="20"/>
              </w:rPr>
              <w:t xml:space="preserve">3,804,444</w:t>
            </w:r>
          </w:p>
        </w:tc>
      </w:tr>
      <w:tr>
        <w:tc>
          <w:tcPr>
            <w:tcW w:type="dxa" w:w="4200"/>
          </w:tcPr>
          <w:p>
            <w:r>
              <w:rPr>
                <w:rFonts w:ascii="Calibri" w:cs="Calibri" w:eastAsia="Calibri" w:hAnsi="Calibri"/>
                <w:b w:val="false"/>
                <w:bCs w:val="false"/>
                <w:color w:val="000000"/>
                <w:sz w:val="20"/>
                <w:szCs w:val="20"/>
              </w:rPr>
              <w:t xml:space="preserve">gr6j_simrcm_all_catchments_clean.csv</w:t>
            </w:r>
          </w:p>
        </w:tc>
        <w:tc>
          <w:tcPr>
            <w:tcW w:type="dxa" w:w="4400"/>
          </w:tcPr>
          <w:p>
            <w:r>
              <w:rPr>
                <w:rFonts w:ascii="Calibri" w:cs="Calibri" w:eastAsia="Calibri" w:hAnsi="Calibri"/>
                <w:b w:val="false"/>
                <w:bCs w:val="false"/>
                <w:color w:val="000000"/>
                <w:sz w:val="20"/>
                <w:szCs w:val="20"/>
              </w:rPr>
              <w:t xml:space="preserve">Future-projection flow data (1982–2080), GR6J model</w:t>
            </w:r>
          </w:p>
        </w:tc>
        <w:tc>
          <w:tcPr>
            <w:tcW w:type="dxa" w:w="750"/>
          </w:tcPr>
          <w:p>
            <w:r>
              <w:rPr>
                <w:rFonts w:ascii="Calibri" w:cs="Calibri" w:eastAsia="Calibri" w:hAnsi="Calibri"/>
                <w:b w:val="false"/>
                <w:bCs w:val="false"/>
                <w:color w:val="000000"/>
                <w:sz w:val="20"/>
                <w:szCs w:val="20"/>
              </w:rPr>
              <w:t xml:space="preserve">7,056,000</w:t>
            </w:r>
          </w:p>
        </w:tc>
      </w:tr>
      <w:tr>
        <w:tc>
          <w:tcPr>
            <w:tcW w:type="dxa" w:w="4200"/>
          </w:tcPr>
          <w:p>
            <w:r>
              <w:rPr>
                <w:rFonts w:ascii="Calibri" w:cs="Calibri" w:eastAsia="Calibri" w:hAnsi="Calibri"/>
                <w:b w:val="false"/>
                <w:bCs w:val="false"/>
                <w:color w:val="000000"/>
                <w:sz w:val="20"/>
                <w:szCs w:val="20"/>
              </w:rPr>
              <w:t xml:space="preserve">g2g_simrcm_all_catchments_clean.csv</w:t>
            </w:r>
          </w:p>
        </w:tc>
        <w:tc>
          <w:tcPr>
            <w:tcW w:type="dxa" w:w="4400"/>
          </w:tcPr>
          <w:p>
            <w:r>
              <w:rPr>
                <w:rFonts w:ascii="Calibri" w:cs="Calibri" w:eastAsia="Calibri" w:hAnsi="Calibri"/>
                <w:b w:val="false"/>
                <w:bCs w:val="false"/>
                <w:color w:val="000000"/>
                <w:sz w:val="20"/>
                <w:szCs w:val="20"/>
              </w:rPr>
              <w:t xml:space="preserve">Future-projection flow data (1982–2080), G2G model</w:t>
            </w:r>
          </w:p>
        </w:tc>
        <w:tc>
          <w:tcPr>
            <w:tcW w:type="dxa" w:w="750"/>
          </w:tcPr>
          <w:p>
            <w:r>
              <w:rPr>
                <w:rFonts w:ascii="Calibri" w:cs="Calibri" w:eastAsia="Calibri" w:hAnsi="Calibri"/>
                <w:b w:val="false"/>
                <w:bCs w:val="false"/>
                <w:color w:val="000000"/>
                <w:sz w:val="20"/>
                <w:szCs w:val="20"/>
              </w:rPr>
              <w:t xml:space="preserve">6,562,080</w:t>
            </w:r>
          </w:p>
        </w:tc>
      </w:tr>
      <w:tr>
        <w:tc>
          <w:tcPr>
            <w:tcW w:type="dxa" w:w="4200"/>
          </w:tcPr>
          <w:p>
            <w:r>
              <w:rPr>
                <w:rFonts w:ascii="Calibri" w:cs="Calibri" w:eastAsia="Calibri" w:hAnsi="Calibri"/>
                <w:b w:val="false"/>
                <w:bCs w:val="false"/>
                <w:color w:val="000000"/>
                <w:sz w:val="20"/>
                <w:szCs w:val="20"/>
              </w:rPr>
              <w:t xml:space="preserve">Station_Locations.xlsx</w:t>
            </w:r>
          </w:p>
        </w:tc>
        <w:tc>
          <w:tcPr>
            <w:tcW w:type="dxa" w:w="4400"/>
          </w:tcPr>
          <w:p>
            <w:r>
              <w:rPr>
                <w:rFonts w:ascii="Calibri" w:cs="Calibri" w:eastAsia="Calibri" w:hAnsi="Calibri"/>
                <w:b w:val="false"/>
                <w:bCs w:val="false"/>
                <w:color w:val="000000"/>
                <w:sz w:val="20"/>
                <w:szCs w:val="20"/>
              </w:rPr>
              <w:t xml:space="preserve">Where each of the 200 stations actually is, plus data-quality notes</w:t>
            </w:r>
          </w:p>
        </w:tc>
        <w:tc>
          <w:tcPr>
            <w:tcW w:type="dxa" w:w="750"/>
          </w:tcPr>
          <w:p>
            <w:r>
              <w:rPr>
                <w:rFonts w:ascii="Calibri" w:cs="Calibri" w:eastAsia="Calibri" w:hAnsi="Calibri"/>
                <w:b w:val="false"/>
                <w:bCs w:val="false"/>
                <w:color w:val="000000"/>
                <w:sz w:val="20"/>
                <w:szCs w:val="20"/>
              </w:rPr>
              <w:t xml:space="preserve">200</w:t>
            </w:r>
          </w:p>
        </w:tc>
      </w:tr>
      <w:tr>
        <w:tc>
          <w:tcPr>
            <w:tcW w:type="dxa" w:w="4200"/>
          </w:tcPr>
          <w:p>
            <w:r>
              <w:rPr>
                <w:rFonts w:ascii="Calibri" w:cs="Calibri" w:eastAsia="Calibri" w:hAnsi="Calibri"/>
                <w:b w:val="false"/>
                <w:bCs w:val="false"/>
                <w:color w:val="000000"/>
                <w:sz w:val="20"/>
                <w:szCs w:val="20"/>
              </w:rPr>
              <w:t xml:space="preserve">eFLaG_Station_Metadata.xlsx</w:t>
            </w:r>
          </w:p>
        </w:tc>
        <w:tc>
          <w:tcPr>
            <w:tcW w:type="dxa" w:w="4400"/>
          </w:tcPr>
          <w:p>
            <w:r>
              <w:rPr>
                <w:rFonts w:ascii="Calibri" w:cs="Calibri" w:eastAsia="Calibri" w:hAnsi="Calibri"/>
                <w:b w:val="false"/>
                <w:bCs w:val="false"/>
                <w:color w:val="000000"/>
                <w:sz w:val="20"/>
                <w:szCs w:val="20"/>
              </w:rPr>
              <w:t xml:space="preserve">UKCEH's own original station metadata (source for the file above)</w:t>
            </w:r>
          </w:p>
        </w:tc>
        <w:tc>
          <w:tcPr>
            <w:tcW w:type="dxa" w:w="750"/>
          </w:tcPr>
          <w:p>
            <w:r>
              <w:rPr>
                <w:rFonts w:ascii="Calibri" w:cs="Calibri" w:eastAsia="Calibri" w:hAnsi="Calibri"/>
                <w:b w:val="false"/>
                <w:bCs w:val="false"/>
                <w:color w:val="000000"/>
                <w:sz w:val="20"/>
                <w:szCs w:val="20"/>
              </w:rPr>
              <w:t xml:space="preserve">200</w:t>
            </w:r>
          </w:p>
        </w:tc>
      </w:tr>
      <w:tr>
        <w:tc>
          <w:tcPr>
            <w:tcW w:type="dxa" w:w="4200"/>
          </w:tcPr>
          <w:p>
            <w:r>
              <w:rPr>
                <w:rFonts w:ascii="Calibri" w:cs="Calibri" w:eastAsia="Calibri" w:hAnsi="Calibri"/>
                <w:b w:val="false"/>
                <w:bCs w:val="false"/>
                <w:color w:val="000000"/>
                <w:sz w:val="20"/>
                <w:szCs w:val="20"/>
              </w:rPr>
              <w:t xml:space="preserve">eFLaG_EIDC_Supporting_Documentation.pdf</w:t>
            </w:r>
          </w:p>
        </w:tc>
        <w:tc>
          <w:tcPr>
            <w:tcW w:type="dxa" w:w="4400"/>
          </w:tcPr>
          <w:p>
            <w:r>
              <w:rPr>
                <w:rFonts w:ascii="Calibri" w:cs="Calibri" w:eastAsia="Calibri" w:hAnsi="Calibri"/>
                <w:b w:val="false"/>
                <w:bCs w:val="false"/>
                <w:color w:val="000000"/>
                <w:sz w:val="20"/>
                <w:szCs w:val="20"/>
              </w:rPr>
              <w:t xml:space="preserve">UKCEH's own official technical documentation for the full eFLaG dataset</w:t>
            </w:r>
          </w:p>
        </w:tc>
        <w:tc>
          <w:tcPr>
            <w:tcW w:type="dxa" w:w="750"/>
          </w:tcPr>
          <w:p>
            <w:r>
              <w:rPr>
                <w:rFonts w:ascii="Calibri" w:cs="Calibri" w:eastAsia="Calibri" w:hAnsi="Calibri"/>
                <w:b w:val="false"/>
                <w:bCs w:val="false"/>
                <w:color w:val="000000"/>
                <w:sz w:val="20"/>
                <w:szCs w:val="20"/>
              </w:rPr>
              <w:t xml:space="preserve">—</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The two download scripts used to build the four data files (hydrology_download_clean.py and hydrology_simrcm_download_clean.py) are included separately, for anyone who wants to reproduce or refresh this data themselves.</w:t>
      </w:r>
    </w:p>
    <w:p>
      <w:pPr>
        <w:spacing w:after="160"/>
      </w:pPr>
      <w:r>
        <w:rPr>
          <w:rFonts w:ascii="Calibri" w:cs="Calibri" w:eastAsia="Calibri" w:hAnsi="Calibri"/>
          <w:b w:val="false"/>
          <w:bCs w:val="false"/>
          <w:i/>
          <w:iCs/>
          <w:sz w:val="22"/>
          <w:szCs w:val="22"/>
        </w:rPr>
        <w:t xml:space="preserve">Note on file size: the two simobs files are small enough to sit directly in this GitHub repository as a zip. The two simrcm files (over 500MB and 800MB respectively) are hosted on Zenodo instead, linked from this repository's README, since GitHub cannot host files that large.</w:t>
      </w:r>
    </w:p>
    <w:p>
      <w:pPr>
        <w:pStyle w:val="Heading1"/>
        <w:spacing w:after="160" w:before="300"/>
      </w:pPr>
      <w:r>
        <w:t xml:space="preserve">3. Two Different Ways of Estimating Flow: GR6J and G2G</w:t>
      </w:r>
    </w:p>
    <w:p>
      <w:pPr>
        <w:spacing w:after="160"/>
      </w:pPr>
      <w:r>
        <w:rPr>
          <w:rFonts w:ascii="Calibri" w:cs="Calibri" w:eastAsia="Calibri" w:hAnsi="Calibri"/>
          <w:b w:val="false"/>
          <w:bCs w:val="false"/>
          <w:i w:val="false"/>
          <w:iCs w:val="false"/>
          <w:sz w:val="22"/>
          <w:szCs w:val="22"/>
        </w:rPr>
        <w:t xml:space="preserve">Both GR6J and G2G try to answer the same question, how much water is flowing through a given river, but they go about it in genuinely different ways. Neither is simply "more advanced" than the other, they are built for different purposes.</w:t>
      </w:r>
    </w:p>
    <w:p>
      <w:pPr>
        <w:spacing w:after="160"/>
      </w:pPr>
      <w:r>
        <w:rPr>
          <w:rFonts w:ascii="Calibri" w:cs="Calibri" w:eastAsia="Calibri" w:hAnsi="Calibri"/>
          <w:b/>
          <w:bCs/>
          <w:i w:val="false"/>
          <w:iCs w:val="false"/>
          <w:sz w:val="22"/>
          <w:szCs w:val="22"/>
        </w:rPr>
        <w:t xml:space="preserve">GR6J</w:t>
      </w:r>
    </w:p>
    <w:p>
      <w:pPr>
        <w:spacing w:after="160"/>
      </w:pPr>
      <w:r>
        <w:rPr>
          <w:rFonts w:ascii="Calibri" w:cs="Calibri" w:eastAsia="Calibri" w:hAnsi="Calibri"/>
          <w:b w:val="false"/>
          <w:bCs w:val="false"/>
          <w:i w:val="false"/>
          <w:iCs w:val="false"/>
          <w:sz w:val="22"/>
          <w:szCs w:val="22"/>
        </w:rPr>
        <w:t xml:space="preserve">GR6J treats each river catchment as a single unit. Rain falls in, a simple set of rules governs how much of it becomes river flow and how much is stored or lost, and flow comes out. It is individually tuned ("calibrated") to each of the 200 stations separately, using that station's own real historical measurements. Because of this tuning, it tends to reproduce that specific station's real flow very closely. UKCEH's own documentation notes GR6J has seen increasing real-world use in UK water resources planning, including Anglian Water's Drought Plan.</w:t>
      </w:r>
    </w:p>
    <w:p>
      <w:pPr>
        <w:spacing w:after="160"/>
      </w:pPr>
      <w:r>
        <w:rPr>
          <w:rFonts w:ascii="Calibri" w:cs="Calibri" w:eastAsia="Calibri" w:hAnsi="Calibri"/>
          <w:b/>
          <w:bCs/>
          <w:i w:val="false"/>
          <w:iCs w:val="false"/>
          <w:sz w:val="22"/>
          <w:szCs w:val="22"/>
        </w:rPr>
        <w:t xml:space="preserve">G2G</w:t>
      </w:r>
    </w:p>
    <w:p>
      <w:pPr>
        <w:spacing w:after="160"/>
      </w:pPr>
      <w:r>
        <w:rPr>
          <w:rFonts w:ascii="Calibri" w:cs="Calibri" w:eastAsia="Calibri" w:hAnsi="Calibri"/>
          <w:b w:val="false"/>
          <w:bCs w:val="false"/>
          <w:i w:val="false"/>
          <w:iCs w:val="false"/>
          <w:sz w:val="22"/>
          <w:szCs w:val="22"/>
        </w:rPr>
        <w:t xml:space="preserve">G2G works completely differently. It divides the whole of Great Britain into a grid of 1km squares and simulates what happens in each square individually, based on that square's real soil, slope, and land cover, then routes the water downhill from square to square. It is not tuned to any individual station. This is the model the Environment Agency actually uses for real flood forecasting, because it works everywhere at once, including places with no gauge at all.</w:t>
      </w:r>
    </w:p>
    <w:p>
      <w:pPr>
        <w:spacing w:after="160"/>
      </w:pPr>
      <w:r>
        <w:rPr>
          <w:rFonts w:ascii="Calibri" w:cs="Calibri" w:eastAsia="Calibri" w:hAnsi="Calibri"/>
          <w:b/>
          <w:bCs/>
          <w:i w:val="false"/>
          <w:iCs w:val="false"/>
          <w:sz w:val="22"/>
          <w:szCs w:val="22"/>
        </w:rPr>
        <w:t xml:space="preserve">Which one is "better" depends on the question being asked</w:t>
      </w:r>
    </w:p>
    <w:p>
      <w:pPr>
        <w:spacing w:after="160"/>
      </w:pPr>
      <w:r>
        <w:rPr>
          <w:rFonts w:ascii="Calibri" w:cs="Calibri" w:eastAsia="Calibri" w:hAnsi="Calibri"/>
          <w:b w:val="false"/>
          <w:bCs w:val="false"/>
          <w:i w:val="false"/>
          <w:iCs w:val="false"/>
          <w:sz w:val="22"/>
          <w:szCs w:val="22"/>
        </w:rPr>
        <w:t xml:space="preserve">For reproducing the real flow at a specific, already-gauged catchment, GR6J is the stronger performer here. Checking both models against every one of the 186 catchments where both exist, GR6J scored higher on NSE (explained in Section 5) at every single station, with no exceptions. G2G's strength lies elsewhere: consistent, physically grounded coverage everywhere, including places GR6J was never built for. It is expected that a model tuned specifically to a place outperforms a general-purpose one there, that is not a flaw in G2G, it is simply what each model is designed to do well.</w:t>
      </w:r>
    </w:p>
    <w:p>
      <w:pPr>
        <w:spacing w:after="160"/>
      </w:pPr>
      <w:r>
        <w:rPr>
          <w:rFonts w:ascii="Calibri" w:cs="Calibri" w:eastAsia="Calibri" w:hAnsi="Calibri"/>
          <w:b w:val="false"/>
          <w:bCs w:val="false"/>
          <w:i w:val="false"/>
          <w:iCs w:val="false"/>
          <w:sz w:val="22"/>
          <w:szCs w:val="22"/>
        </w:rPr>
        <w:t xml:space="preserve">On the 186-vs-200 coverage: this is confirmed directly in UKCEH's own dataset documentation, not something noticed as a possible error. Their published folder structure explicitly lists 186 files for G2G against 200 for the other three models. Nine of the 14 missing stations are in Northern Ireland, entirely outside G2G's Great Britain-only coverage. The other five are small English catchments, UKCEH's documentation does not state a reason for those, so none should be assumed.</w:t>
      </w:r>
    </w:p>
    <w:p>
      <w:pPr>
        <w:pStyle w:val="Heading1"/>
        <w:spacing w:after="160" w:before="300"/>
      </w:pPr>
      <w:r>
        <w:t xml:space="preserve">4. Two Kinds of Data: Real History and Future Projections</w:t>
      </w:r>
    </w:p>
    <w:p>
      <w:pPr>
        <w:spacing w:after="160"/>
      </w:pPr>
      <w:r>
        <w:rPr>
          <w:rFonts w:ascii="Calibri" w:cs="Calibri" w:eastAsia="Calibri" w:hAnsi="Calibri"/>
          <w:b/>
          <w:bCs/>
          <w:i w:val="false"/>
          <w:iCs w:val="false"/>
          <w:sz w:val="22"/>
          <w:szCs w:val="22"/>
        </w:rPr>
        <w:t xml:space="preserve">simobs (the two non-"simrcm" files)</w:t>
      </w:r>
    </w:p>
    <w:p>
      <w:pPr>
        <w:spacing w:after="160"/>
      </w:pPr>
      <w:r>
        <w:rPr>
          <w:rFonts w:ascii="Calibri" w:cs="Calibri" w:eastAsia="Calibri" w:hAnsi="Calibri"/>
          <w:b w:val="false"/>
          <w:bCs w:val="false"/>
          <w:i w:val="false"/>
          <w:iCs w:val="false"/>
          <w:sz w:val="22"/>
          <w:szCs w:val="22"/>
        </w:rPr>
        <w:t xml:space="preserve">Driven by real historical weather. Covers 1 January 1963 to 30 September 2018. This is what you would use to check a model against reality, or to study how flow actually behaved in the past.</w:t>
      </w:r>
    </w:p>
    <w:p>
      <w:pPr>
        <w:spacing w:after="160"/>
      </w:pPr>
      <w:r>
        <w:rPr>
          <w:rFonts w:ascii="Calibri" w:cs="Calibri" w:eastAsia="Calibri" w:hAnsi="Calibri"/>
          <w:b/>
          <w:bCs/>
          <w:i w:val="false"/>
          <w:iCs w:val="false"/>
          <w:sz w:val="22"/>
          <w:szCs w:val="22"/>
        </w:rPr>
        <w:t xml:space="preserve">simrcm (the two "simrcm" files)</w:t>
      </w:r>
    </w:p>
    <w:p>
      <w:pPr>
        <w:spacing w:after="160"/>
      </w:pPr>
      <w:r>
        <w:rPr>
          <w:rFonts w:ascii="Calibri" w:cs="Calibri" w:eastAsia="Calibri" w:hAnsi="Calibri"/>
          <w:b w:val="false"/>
          <w:bCs w:val="false"/>
          <w:i w:val="false"/>
          <w:iCs w:val="false"/>
          <w:sz w:val="22"/>
          <w:szCs w:val="22"/>
        </w:rPr>
        <w:t xml:space="preserve">Driven by 12 different future-climate projections (from the Met Office's UKCP18 climate model ensemble), covering 1 December 1982 to 2080. There is no single "correct" prediction of the future, so this file gives 12 plausible versions side by side, one column per projection (named RCM_01, RCM_04, RCM_05, and so on, the numbering skips a few because those specific projections were dropped nationally for data-quality reasons before publication, not something missing from this download).</w:t>
      </w:r>
    </w:p>
    <w:p>
      <w:pPr>
        <w:spacing w:after="160"/>
      </w:pPr>
      <w:r>
        <w:rPr>
          <w:rFonts w:ascii="Calibri" w:cs="Calibri" w:eastAsia="Calibri" w:hAnsi="Calibri"/>
          <w:b/>
          <w:bCs/>
          <w:i/>
          <w:iCs/>
          <w:sz w:val="22"/>
          <w:szCs w:val="22"/>
        </w:rPr>
        <w:t xml:space="preserve">A caveat on comparing simobs to simrcm</w:t>
      </w:r>
    </w:p>
    <w:p>
      <w:pPr>
        <w:spacing w:after="160"/>
      </w:pPr>
      <w:r>
        <w:rPr>
          <w:rFonts w:ascii="Calibri" w:cs="Calibri" w:eastAsia="Calibri" w:hAnsi="Calibri"/>
          <w:b w:val="false"/>
          <w:bCs w:val="false"/>
          <w:i w:val="false"/>
          <w:iCs w:val="false"/>
          <w:sz w:val="22"/>
          <w:szCs w:val="22"/>
        </w:rPr>
        <w:t xml:space="preserve">UKCEH's own validation approach does not compare simrcm to simobs day-by-day, and neither should we. Climate projections are not meant to reproduce the specific sequence of real historical events, only the overall statistical pattern of flow (how often high or low flows occur, not which exact day). Their own documentation compares the two using flow-duration curves, a statistical comparison, rather than matching dates directly.</w:t>
      </w:r>
    </w:p>
    <w:p>
      <w:pPr>
        <w:spacing w:after="160"/>
      </w:pPr>
      <w:r>
        <w:rPr>
          <w:rFonts w:ascii="Calibri" w:cs="Calibri" w:eastAsia="Calibri" w:hAnsi="Calibri"/>
          <w:b/>
          <w:bCs/>
          <w:i/>
          <w:iCs/>
          <w:sz w:val="22"/>
          <w:szCs w:val="22"/>
        </w:rPr>
        <w:t xml:space="preserve">An important technical note on simrcm's dates</w:t>
      </w:r>
    </w:p>
    <w:p>
      <w:pPr>
        <w:spacing w:after="160"/>
      </w:pPr>
      <w:r>
        <w:rPr>
          <w:rFonts w:ascii="Calibri" w:cs="Calibri" w:eastAsia="Calibri" w:hAnsi="Calibri"/>
          <w:b w:val="false"/>
          <w:bCs w:val="false"/>
          <w:i w:val="false"/>
          <w:iCs w:val="false"/>
          <w:sz w:val="22"/>
          <w:szCs w:val="22"/>
        </w:rPr>
        <w:t xml:space="preserve">The simrcm files use a simplified 360-day calendar (12 months of exactly 30 days each, no leap years), which is standard practice for this kind of climate modelling but is not a real calendar. Dates in this file will not line up exactly with a normal calendar, there is no 31st of any month, and no 29th of February. If you need to do calculations involving these dates, use a calendar-aware tool built for climate data (the Python library cftime handles this correctly), rather than a standard date function, which will reject or misread these dates.</w:t>
      </w:r>
    </w:p>
    <w:p>
      <w:pPr>
        <w:pStyle w:val="Heading1"/>
        <w:spacing w:after="160" w:before="300"/>
      </w:pPr>
      <w:r>
        <w:t xml:space="preserve">5. How Good Is This Data? Understanding the Quality Information</w:t>
      </w:r>
    </w:p>
    <w:p>
      <w:pPr>
        <w:spacing w:after="160"/>
      </w:pPr>
      <w:r>
        <w:rPr>
          <w:rFonts w:ascii="Calibri" w:cs="Calibri" w:eastAsia="Calibri" w:hAnsi="Calibri"/>
          <w:b w:val="false"/>
          <w:bCs w:val="false"/>
          <w:i w:val="false"/>
          <w:iCs w:val="false"/>
          <w:sz w:val="22"/>
          <w:szCs w:val="22"/>
        </w:rPr>
        <w:t xml:space="preserve">Two separate things determine how much you can trust a given station's data: how well the model performs there, and how complete the real measurements are. Both are documented, not left to guesswork.</w:t>
      </w:r>
    </w:p>
    <w:p>
      <w:pPr>
        <w:spacing w:after="160"/>
      </w:pPr>
      <w:r>
        <w:rPr>
          <w:rFonts w:ascii="Calibri" w:cs="Calibri" w:eastAsia="Calibri" w:hAnsi="Calibri"/>
          <w:b/>
          <w:bCs/>
          <w:i w:val="false"/>
          <w:iCs w:val="false"/>
          <w:sz w:val="22"/>
          <w:szCs w:val="22"/>
        </w:rPr>
        <w:t xml:space="preserve">Model performance (NSE)</w:t>
      </w:r>
    </w:p>
    <w:p>
      <w:pPr>
        <w:spacing w:after="160"/>
      </w:pPr>
      <w:r>
        <w:rPr>
          <w:rFonts w:ascii="Calibri" w:cs="Calibri" w:eastAsia="Calibri" w:hAnsi="Calibri"/>
          <w:b w:val="false"/>
          <w:bCs w:val="false"/>
          <w:i w:val="false"/>
          <w:iCs w:val="false"/>
          <w:sz w:val="22"/>
          <w:szCs w:val="22"/>
        </w:rPr>
        <w:t xml:space="preserve">NSE (Nash-Sutcliffe Efficiency) answers a specific question: how much better is this model than simply guessing the long-term average flow every day? A score of 1.0 means a perfect match to real flow. A score of 0.0 means the model is no better than a lazy average guess. Negative scores mean the model performs worse than that guess. A score above 0.75 is generally considered very good, 0.65–0.75 good, and 0.5–0.65 acceptable.</w:t>
      </w:r>
    </w:p>
    <w:p>
      <w:pPr>
        <w:spacing w:after="160"/>
      </w:pPr>
      <w:r>
        <w:rPr>
          <w:rFonts w:ascii="Calibri" w:cs="Calibri" w:eastAsia="Calibri" w:hAnsi="Calibri"/>
          <w:b w:val="false"/>
          <w:bCs w:val="false"/>
          <w:i w:val="false"/>
          <w:iCs w:val="false"/>
          <w:sz w:val="22"/>
          <w:szCs w:val="22"/>
        </w:rPr>
        <w:t xml:space="preserve">Worth knowing: NSE weights large deviations heavily, which makes it most sensitive to high-flow (flood-type) events specifically, it is not an all-purpose accuracy score. UKCEH's own documentation uses a fuller set of metrics alongside NSE, including separate scores focused on low flows, water balance, and variability, since no single number captures every aspect of model performance. NSE is the figure reported in Station_Locations.xlsx, but it should be read as "how well this model captures high-flow events", not overall accuracy in every sense.</w:t>
      </w:r>
    </w:p>
    <w:p>
      <w:pPr>
        <w:spacing w:after="160"/>
      </w:pPr>
      <w:r>
        <w:rPr>
          <w:rFonts w:ascii="Calibri" w:cs="Calibri" w:eastAsia="Calibri" w:hAnsi="Calibri"/>
          <w:b/>
          <w:bCs/>
          <w:i w:val="false"/>
          <w:iCs w:val="false"/>
          <w:sz w:val="22"/>
          <w:szCs w:val="22"/>
        </w:rPr>
        <w:t xml:space="preserve">Real measurement quality (published directly by UKCEH)</w:t>
      </w:r>
    </w:p>
    <w:p>
      <w:pPr>
        <w:spacing w:after="160"/>
      </w:pPr>
      <w:r>
        <w:rPr>
          <w:rFonts w:ascii="Calibri" w:cs="Calibri" w:eastAsia="Calibri" w:hAnsi="Calibri"/>
          <w:b w:val="false"/>
          <w:bCs w:val="false"/>
          <w:i w:val="false"/>
          <w:iCs w:val="false"/>
          <w:sz w:val="22"/>
          <w:szCs w:val="22"/>
        </w:rPr>
        <w:t xml:space="preserve">Independently of model performance, UKCEH also documents how complete each station's actual physical gauge record is. This is included in Station_Locations.xlsx, station by station, as four columns:</w:t>
      </w:r>
    </w:p>
    <w:p>
      <w:pPr>
        <w:pStyle w:val="ListParagraph"/>
        <w:numPr>
          <w:ilvl w:val="0"/>
          <w:numId w:val="1"/>
        </w:numPr>
        <w:spacing w:after="100"/>
      </w:pPr>
      <w:r>
        <w:rPr>
          <w:rFonts w:ascii="Calibri" w:cs="Calibri" w:eastAsia="Calibri" w:hAnsi="Calibri"/>
          <w:sz w:val="22"/>
          <w:szCs w:val="22"/>
        </w:rPr>
        <w:t xml:space="preserve">Gauge_Record_Start / Gauge_Record_End — the real dates that specific measuring instrument was actually in operation. Modelled flow exists outside these dates, but no real measurement does.</w:t>
      </w:r>
    </w:p>
    <w:p>
      <w:pPr>
        <w:pStyle w:val="ListParagraph"/>
        <w:numPr>
          <w:ilvl w:val="0"/>
          <w:numId w:val="1"/>
        </w:numPr>
        <w:spacing w:after="100"/>
      </w:pPr>
      <w:r>
        <w:rPr>
          <w:rFonts w:ascii="Calibri" w:cs="Calibri" w:eastAsia="Calibri" w:hAnsi="Calibri"/>
          <w:sz w:val="22"/>
          <w:szCs w:val="22"/>
        </w:rPr>
        <w:t xml:space="preserve">Record_Length_Years — how many years of real measurement exist in total.</w:t>
      </w:r>
    </w:p>
    <w:p>
      <w:pPr>
        <w:pStyle w:val="ListParagraph"/>
        <w:numPr>
          <w:ilvl w:val="0"/>
          <w:numId w:val="1"/>
        </w:numPr>
        <w:spacing w:after="100"/>
      </w:pPr>
      <w:r>
        <w:rPr>
          <w:rFonts w:ascii="Calibri" w:cs="Calibri" w:eastAsia="Calibri" w:hAnsi="Calibri"/>
          <w:sz w:val="22"/>
          <w:szCs w:val="22"/>
        </w:rPr>
        <w:t xml:space="preserve">Percent_Complete — of the years the gauge was actually running, what percentage has no gaps at all. 100 means a fully complete record for its operating period.</w:t>
      </w:r>
    </w:p>
    <w:p>
      <w:pPr>
        <w:spacing w:after="160"/>
      </w:pPr>
      <w:r>
        <w:rPr>
          <w:rFonts w:ascii="Calibri" w:cs="Calibri" w:eastAsia="Calibri" w:hAnsi="Calibri"/>
          <w:b w:val="false"/>
          <w:bCs w:val="false"/>
          <w:i w:val="false"/>
          <w:iCs w:val="false"/>
          <w:sz w:val="22"/>
          <w:szCs w:val="22"/>
        </w:rPr>
        <w:t xml:space="preserve">These four fields are UKCEH's own authoritative documentation of data quality, not something calculated for this project. Anyone using this data for a specific station should check these fields first, rather than assuming every station is equally complete.</w:t>
      </w:r>
    </w:p>
    <w:p>
      <w:pPr>
        <w:pStyle w:val="Heading1"/>
        <w:spacing w:after="160" w:before="300"/>
      </w:pPr>
      <w:r>
        <w:t xml:space="preserve">6. Known Gaps and Limitations</w:t>
      </w:r>
    </w:p>
    <w:p>
      <w:pPr>
        <w:pStyle w:val="ListParagraph"/>
        <w:numPr>
          <w:ilvl w:val="0"/>
          <w:numId w:val="1"/>
        </w:numPr>
        <w:spacing w:after="100"/>
      </w:pPr>
      <w:r>
        <w:rPr>
          <w:rFonts w:ascii="Calibri" w:cs="Calibri" w:eastAsia="Calibri" w:hAnsi="Calibri"/>
          <w:sz w:val="22"/>
          <w:szCs w:val="22"/>
        </w:rPr>
        <w:t xml:space="preserve">G2G has no data for 14 of the 200 stations (both simobs and simrcm), confirmed as expected by UKCEH's own documentation. Nine are in Northern Ireland (outside G2G's coverage area), the remaining five are small English catchments with no stated reason.</w:t>
      </w:r>
    </w:p>
    <w:p>
      <w:pPr>
        <w:pStyle w:val="ListParagraph"/>
        <w:numPr>
          <w:ilvl w:val="0"/>
          <w:numId w:val="1"/>
        </w:numPr>
        <w:spacing w:after="100"/>
      </w:pPr>
      <w:r>
        <w:rPr>
          <w:rFonts w:ascii="Calibri" w:cs="Calibri" w:eastAsia="Calibri" w:hAnsi="Calibri"/>
          <w:sz w:val="22"/>
          <w:szCs w:val="22"/>
        </w:rPr>
        <w:t xml:space="preserve">Observed flow (the Qobs column, simobs files only) has gaps for any period before that station's gauge existed (see Gauge_Record_Start in Station_Locations.xlsx). This is expected and documented, not a data error. The modelled flow (Qsim) has no gaps, since it can be calculated for any date regardless of whether a physical gauge existed.</w:t>
      </w:r>
    </w:p>
    <w:p>
      <w:pPr>
        <w:pStyle w:val="ListParagraph"/>
        <w:numPr>
          <w:ilvl w:val="0"/>
          <w:numId w:val="1"/>
        </w:numPr>
        <w:spacing w:after="100"/>
      </w:pPr>
      <w:r>
        <w:rPr>
          <w:rFonts w:ascii="Calibri" w:cs="Calibri" w:eastAsia="Calibri" w:hAnsi="Calibri"/>
          <w:sz w:val="22"/>
          <w:szCs w:val="22"/>
        </w:rPr>
        <w:t xml:space="preserve">simrcm has no observed-flow column at all, by definition, since it covers future dates no measurement can exist for yet.</w:t>
      </w:r>
    </w:p>
    <w:p>
      <w:pPr>
        <w:pStyle w:val="ListParagraph"/>
        <w:numPr>
          <w:ilvl w:val="0"/>
          <w:numId w:val="1"/>
        </w:numPr>
        <w:spacing w:after="100"/>
      </w:pPr>
      <w:r>
        <w:rPr>
          <w:rFonts w:ascii="Calibri" w:cs="Calibri" w:eastAsia="Calibri" w:hAnsi="Calibri"/>
          <w:sz w:val="22"/>
          <w:szCs w:val="22"/>
        </w:rPr>
        <w:t xml:space="preserve">simrcm uses a 360-day calendar, not a real one (see Section 4).</w:t>
      </w:r>
    </w:p>
    <w:p>
      <w:pPr>
        <w:pStyle w:val="Heading1"/>
        <w:spacing w:after="160" w:before="300"/>
      </w:pPr>
      <w:r>
        <w:t xml:space="preserve">7. How To Use These Files</w:t>
      </w:r>
    </w:p>
    <w:p>
      <w:pPr>
        <w:spacing w:after="160"/>
      </w:pPr>
      <w:r>
        <w:rPr>
          <w:rFonts w:ascii="Calibri" w:cs="Calibri" w:eastAsia="Calibri" w:hAnsi="Calibri"/>
          <w:b w:val="false"/>
          <w:bCs w:val="false"/>
          <w:i w:val="false"/>
          <w:iCs w:val="false"/>
          <w:sz w:val="22"/>
          <w:szCs w:val="22"/>
        </w:rPr>
        <w:t xml:space="preserve">The four data files are standard CSV (comma-separated values) files. They open directly in Excel, though the two largest (simrcm files, over 6 million rows each) exceed Excel's row limit and will be cut off if opened directly there, a data analysis tool (such as Python with the pandas library, or R) is needed to work with those in full.</w:t>
      </w:r>
    </w:p>
    <w:p>
      <w:pPr>
        <w:spacing w:after="160"/>
      </w:pPr>
      <w:r>
        <w:rPr>
          <w:rFonts w:ascii="Calibri" w:cs="Calibri" w:eastAsia="Calibri" w:hAnsi="Calibri"/>
          <w:b w:val="false"/>
          <w:bCs w:val="false"/>
          <w:i w:val="false"/>
          <w:iCs w:val="false"/>
          <w:sz w:val="22"/>
          <w:szCs w:val="22"/>
        </w:rPr>
        <w:t xml:space="preserve">Every file includes a station column. To find data for one specific location, look up its station number in Station_Locations.xlsx first (searchable by river name or place name), then filter or search the data file for that number.</w:t>
      </w:r>
    </w:p>
    <w:p>
      <w:pPr>
        <w:spacing w:after="160"/>
      </w:pPr>
      <w:r>
        <w:rPr>
          <w:rFonts w:ascii="Calibri" w:cs="Calibri" w:eastAsia="Calibri" w:hAnsi="Calibri"/>
          <w:b w:val="false"/>
          <w:bCs w:val="false"/>
          <w:i w:val="false"/>
          <w:iCs w:val="false"/>
          <w:sz w:val="22"/>
          <w:szCs w:val="22"/>
        </w:rPr>
        <w:t xml:space="preserve">Station_Locations.xlsx opens normally in Excel, all 200 rows, with a Read Me tab explaining every column.</w:t>
      </w:r>
    </w:p>
    <w:p>
      <w:pPr>
        <w:spacing w:after="160"/>
      </w:pPr>
      <w:r>
        <w:rPr>
          <w:rFonts w:ascii="Calibri" w:cs="Calibri" w:eastAsia="Calibri" w:hAnsi="Calibri"/>
          <w:b w:val="false"/>
          <w:bCs w:val="false"/>
          <w:i w:val="false"/>
          <w:iCs w:val="false"/>
          <w:sz w:val="22"/>
          <w:szCs w:val="22"/>
        </w:rPr>
        <w:t xml:space="preserve">The two simrcm files are hosted separately on Zenodo (see this repository's README for the link and DOI), since they are too large for GitHub itself. They download the same way as any normal file, no special tools needed.</w:t>
      </w:r>
    </w:p>
    <w:p>
      <w:pPr>
        <w:pStyle w:val="Heading1"/>
        <w:spacing w:after="160" w:before="300"/>
      </w:pPr>
      <w:r>
        <w:t xml:space="preserve">8. Source and Citation</w:t>
      </w:r>
    </w:p>
    <w:p>
      <w:pPr>
        <w:spacing w:after="160"/>
      </w:pPr>
      <w:r>
        <w:rPr>
          <w:rFonts w:ascii="Calibri" w:cs="Calibri" w:eastAsia="Calibri" w:hAnsi="Calibri"/>
          <w:b w:val="false"/>
          <w:bCs w:val="false"/>
          <w:i w:val="false"/>
          <w:iCs w:val="false"/>
          <w:sz w:val="22"/>
          <w:szCs w:val="22"/>
        </w:rPr>
        <w:t xml:space="preserve">Hannaford, J., Mackay, J., Ascot, M., Bell, V. A., Chitson, T., Cole, S., Counsell, C., Durant, M., Jackson, C., Kay, A. L., Lane, R. A., Mansour, M., Moore, R., Parry, S., Rudd, A. C., Simpson, M., Facer-Childs, K., Turner, S., Wallbank, J., Wells, S., Wilcox, A. eFLaG: enhanced Future Flows and Groundwater. A national dataset of hydrological projections based on UKCP18. Earth System Science Data.</w:t>
      </w:r>
    </w:p>
    <w:p>
      <w:pPr>
        <w:spacing w:after="160"/>
      </w:pPr>
      <w:r>
        <w:rPr>
          <w:rFonts w:ascii="Calibri" w:cs="Calibri" w:eastAsia="Calibri" w:hAnsi="Calibri"/>
          <w:b w:val="false"/>
          <w:bCs w:val="false"/>
          <w:i/>
          <w:iCs/>
          <w:sz w:val="22"/>
          <w:szCs w:val="22"/>
        </w:rPr>
        <w:t xml:space="preserve">A note on this citation: UKCEH's own supporting documentation (included in this package) lists this paper as "in prep" at the time it was written, without a final volume or page number. It may since have been formally published, worth checking Google Scholar or the journal directly for the final published details before citing it in your own work. The dataset DOI below is stable and citable regardless.</w:t>
      </w:r>
    </w:p>
    <w:p>
      <w:pPr>
        <w:spacing w:after="160"/>
      </w:pPr>
      <w:r>
        <w:rPr>
          <w:rFonts w:ascii="Calibri" w:cs="Calibri" w:eastAsia="Calibri" w:hAnsi="Calibri"/>
          <w:b/>
          <w:bCs/>
          <w:i w:val="false"/>
          <w:iCs w:val="false"/>
          <w:sz w:val="22"/>
          <w:szCs w:val="22"/>
        </w:rPr>
        <w:t xml:space="preserve">Dataset DOI: https://doi.org/10.5285/1bb90673-ad37-4679-90b9-0126109639a9</w:t>
      </w:r>
    </w:p>
    <w:p>
      <w:pPr>
        <w:spacing w:after="160"/>
      </w:pPr>
      <w:r>
        <w:rPr>
          <w:rFonts w:ascii="Calibri" w:cs="Calibri" w:eastAsia="Calibri" w:hAnsi="Calibri"/>
          <w:b w:val="false"/>
          <w:bCs w:val="false"/>
          <w:i w:val="false"/>
          <w:iCs w:val="false"/>
          <w:sz w:val="22"/>
          <w:szCs w:val="22"/>
        </w:rPr>
        <w:t xml:space="preserve">This is the safest, permanent reference, it will always resolve to the correct dataset even if the journal citation details change.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2026-07-21T13:53:50.824Z</dcterms:created>
  <dcterms:modified xsi:type="dcterms:W3CDTF">2026-07-21T13:53:50.838Z</dcterms:modified>
</cp:coreProperties>
</file>

<file path=docProps/custom.xml><?xml version="1.0" encoding="utf-8"?>
<Properties xmlns="http://schemas.openxmlformats.org/officeDocument/2006/custom-properties" xmlns:vt="http://schemas.openxmlformats.org/officeDocument/2006/docPropsVTypes"/>
</file>