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UK River Flow Data — User Guide</w:t>
      </w:r>
    </w:p>
    <w:p>
      <w:pPr>
        <w:spacing w:after="300"/>
      </w:pPr>
      <w:r>
        <w:rPr>
          <w:rFonts w:ascii="Calibri" w:cs="Calibri" w:eastAsia="Calibri" w:hAnsi="Calibri"/>
          <w:i/>
          <w:iCs/>
          <w:color w:val="555555"/>
          <w:sz w:val="24"/>
          <w:szCs w:val="24"/>
        </w:rPr>
        <w:t xml:space="preserve">GR6J, GR4J, and G2G hydrology data, prepared for the Freshwater Digital Twin project</w:t>
      </w:r>
    </w:p>
    <w:p>
      <w:pPr>
        <w:pStyle w:val="Heading1"/>
        <w:spacing w:after="160" w:before="300"/>
      </w:pPr>
      <w:r>
        <w:t xml:space="preserve">1. What This Is</w:t>
      </w:r>
    </w:p>
    <w:p>
      <w:pPr>
        <w:spacing w:after="160"/>
      </w:pPr>
      <w:r>
        <w:rPr>
          <w:rFonts w:ascii="Calibri" w:cs="Calibri" w:eastAsia="Calibri" w:hAnsi="Calibri"/>
          <w:b w:val="false"/>
          <w:bCs w:val="false"/>
          <w:i w:val="false"/>
          <w:iCs w:val="false"/>
          <w:sz w:val="22"/>
          <w:szCs w:val="22"/>
        </w:rPr>
        <w:t xml:space="preserve">This package contains daily river flow data for 200 gauging stations across Great Britain and Northern Ireland. It comes from a dataset called eFLaG, published by UKCEH (the UK Centre for Ecology and Hydrology), BGS, and HR Wallingford. You do not need a background in hydrology or programming to use it, this guide explains everything in plain terms.</w:t>
      </w:r>
    </w:p>
    <w:p>
      <w:pPr>
        <w:spacing w:after="160"/>
      </w:pPr>
      <w:r>
        <w:rPr>
          <w:rFonts w:ascii="Calibri" w:cs="Calibri" w:eastAsia="Calibri" w:hAnsi="Calibri"/>
          <w:b w:val="false"/>
          <w:bCs w:val="false"/>
          <w:i w:val="false"/>
          <w:iCs w:val="false"/>
          <w:sz w:val="22"/>
          <w:szCs w:val="22"/>
        </w:rPr>
        <w:t xml:space="preserve">River flow means how much water is moving through a river at a given point, measured in cubic metres per second (m³/s). This data gives you that number for every day, at 200 real locations, going back to 1963.</w:t>
      </w:r>
    </w:p>
    <w:p>
      <w:pPr>
        <w:spacing w:after="160"/>
      </w:pPr>
      <w:r>
        <w:rPr>
          <w:rFonts w:ascii="Calibri" w:cs="Calibri" w:eastAsia="Calibri" w:hAnsi="Calibri"/>
          <w:b w:val="false"/>
          <w:bCs w:val="false"/>
          <w:i w:val="false"/>
          <w:iCs w:val="false"/>
          <w:sz w:val="22"/>
          <w:szCs w:val="22"/>
        </w:rPr>
        <w:t xml:space="preserve">eFLaG actually runs four different models at each station (G2G, GR4J, GR6J, and PDM). This package covers three of them, GR6J, GR4J, and G2G, chosen and compared directly in Section 3.</w:t>
      </w:r>
    </w:p>
    <w:p>
      <w:pPr>
        <w:spacing w:after="160"/>
      </w:pPr>
      <w:r>
        <w:rPr>
          <w:rFonts w:ascii="Calibri" w:cs="Calibri" w:eastAsia="Calibri" w:hAnsi="Calibri"/>
          <w:b w:val="false"/>
          <w:bCs w:val="false"/>
          <w:i/>
          <w:iCs/>
          <w:sz w:val="22"/>
          <w:szCs w:val="22"/>
        </w:rPr>
        <w:t xml:space="preserve">A scope note: eFLaG is a larger dataset than what's included here. It also covers groundwater levels (54 boreholes) and groundwater recharge (558 groundwater bodies) across the UK. This package covers river flow only.</w:t>
      </w:r>
    </w:p>
    <w:p>
      <w:pPr>
        <w:pStyle w:val="Heading1"/>
        <w:spacing w:after="160" w:before="300"/>
      </w:pPr>
      <w:r>
        <w:t xml:space="preserve">2. What's In This Package</w:t>
      </w:r>
    </w:p>
    <w:p>
      <w:pPr>
        <w:spacing w:after="160"/>
      </w:pPr>
      <w:r>
        <w:rPr>
          <w:rFonts w:ascii="Calibri" w:cs="Calibri" w:eastAsia="Calibri" w:hAnsi="Calibri"/>
          <w:b w:val="false"/>
          <w:bCs w:val="false"/>
          <w:i w:val="false"/>
          <w:iCs w:val="false"/>
          <w:sz w:val="22"/>
          <w:szCs w:val="22"/>
        </w:rPr>
        <w:t xml:space="preserve">Nine files, described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4400"/>
        <w:gridCol w:w="750"/>
      </w:tblGrid>
      <w:tr>
        <w:tc>
          <w:tcPr>
            <w:tcW w:type="dxa" w:w="4200"/>
            <w:shd w:fill="1F4E78" w:val="clear"/>
          </w:tcPr>
          <w:p>
            <w:r>
              <w:rPr>
                <w:rFonts w:ascii="Calibri" w:cs="Calibri" w:eastAsia="Calibri" w:hAnsi="Calibri"/>
                <w:b/>
                <w:bCs/>
                <w:color w:val="FFFFFF"/>
                <w:sz w:val="20"/>
                <w:szCs w:val="20"/>
              </w:rPr>
              <w:t xml:space="preserve">File</w:t>
            </w:r>
          </w:p>
        </w:tc>
        <w:tc>
          <w:tcPr>
            <w:tcW w:type="dxa" w:w="4400"/>
            <w:shd w:fill="1F4E78" w:val="clear"/>
          </w:tcPr>
          <w:p>
            <w:r>
              <w:rPr>
                <w:rFonts w:ascii="Calibri" w:cs="Calibri" w:eastAsia="Calibri" w:hAnsi="Calibri"/>
                <w:b/>
                <w:bCs/>
                <w:color w:val="FFFFFF"/>
                <w:sz w:val="20"/>
                <w:szCs w:val="20"/>
              </w:rPr>
              <w:t xml:space="preserve">What it is</w:t>
            </w:r>
          </w:p>
        </w:tc>
        <w:tc>
          <w:tcPr>
            <w:tcW w:type="dxa" w:w="750"/>
            <w:shd w:fill="1F4E78" w:val="clear"/>
          </w:tcPr>
          <w:p>
            <w:r>
              <w:rPr>
                <w:rFonts w:ascii="Calibri" w:cs="Calibri" w:eastAsia="Calibri" w:hAnsi="Calibri"/>
                <w:b/>
                <w:bCs/>
                <w:color w:val="FFFFFF"/>
                <w:sz w:val="20"/>
                <w:szCs w:val="20"/>
              </w:rPr>
              <w:t xml:space="preserve">Rows</w:t>
            </w:r>
          </w:p>
        </w:tc>
      </w:tr>
      <w:tr>
        <w:tc>
          <w:tcPr>
            <w:tcW w:type="dxa" w:w="4200"/>
          </w:tcPr>
          <w:p>
            <w:r>
              <w:rPr>
                <w:rFonts w:ascii="Calibri" w:cs="Calibri" w:eastAsia="Calibri" w:hAnsi="Calibri"/>
                <w:b w:val="false"/>
                <w:bCs w:val="false"/>
                <w:color w:val="000000"/>
                <w:sz w:val="20"/>
                <w:szCs w:val="20"/>
              </w:rPr>
              <w:t xml:space="preserve">gr6j_all_catchments_clean.csv</w:t>
            </w:r>
          </w:p>
        </w:tc>
        <w:tc>
          <w:tcPr>
            <w:tcW w:type="dxa" w:w="4400"/>
          </w:tcPr>
          <w:p>
            <w:r>
              <w:rPr>
                <w:rFonts w:ascii="Calibri" w:cs="Calibri" w:eastAsia="Calibri" w:hAnsi="Calibri"/>
                <w:b w:val="false"/>
                <w:bCs w:val="false"/>
                <w:color w:val="000000"/>
                <w:sz w:val="20"/>
                <w:szCs w:val="20"/>
              </w:rPr>
              <w:t xml:space="preserve">Real-history flow data (1963–2018), GR6J model</w:t>
            </w:r>
          </w:p>
        </w:tc>
        <w:tc>
          <w:tcPr>
            <w:tcW w:type="dxa" w:w="750"/>
          </w:tcPr>
          <w:p>
            <w:r>
              <w:rPr>
                <w:rFonts w:ascii="Calibri" w:cs="Calibri" w:eastAsia="Calibri" w:hAnsi="Calibri"/>
                <w:b w:val="false"/>
                <w:bCs w:val="false"/>
                <w:color w:val="000000"/>
                <w:sz w:val="20"/>
                <w:szCs w:val="20"/>
              </w:rPr>
              <w:t xml:space="preserve">4,090,800</w:t>
            </w:r>
          </w:p>
        </w:tc>
      </w:tr>
      <w:tr>
        <w:tc>
          <w:tcPr>
            <w:tcW w:type="dxa" w:w="4200"/>
          </w:tcPr>
          <w:p>
            <w:r>
              <w:rPr>
                <w:rFonts w:ascii="Calibri" w:cs="Calibri" w:eastAsia="Calibri" w:hAnsi="Calibri"/>
                <w:b w:val="false"/>
                <w:bCs w:val="false"/>
                <w:color w:val="000000"/>
                <w:sz w:val="20"/>
                <w:szCs w:val="20"/>
              </w:rPr>
              <w:t xml:space="preserve">gr4j_all_catchments_clean.csv</w:t>
            </w:r>
          </w:p>
        </w:tc>
        <w:tc>
          <w:tcPr>
            <w:tcW w:type="dxa" w:w="4400"/>
          </w:tcPr>
          <w:p>
            <w:r>
              <w:rPr>
                <w:rFonts w:ascii="Calibri" w:cs="Calibri" w:eastAsia="Calibri" w:hAnsi="Calibri"/>
                <w:b w:val="false"/>
                <w:bCs w:val="false"/>
                <w:color w:val="000000"/>
                <w:sz w:val="20"/>
                <w:szCs w:val="20"/>
              </w:rPr>
              <w:t xml:space="preserve">Real-history flow data (1963–2018), GR4J model</w:t>
            </w:r>
          </w:p>
        </w:tc>
        <w:tc>
          <w:tcPr>
            <w:tcW w:type="dxa" w:w="750"/>
          </w:tcPr>
          <w:p>
            <w:r>
              <w:rPr>
                <w:rFonts w:ascii="Calibri" w:cs="Calibri" w:eastAsia="Calibri" w:hAnsi="Calibri"/>
                <w:b w:val="false"/>
                <w:bCs w:val="false"/>
                <w:color w:val="000000"/>
                <w:sz w:val="20"/>
                <w:szCs w:val="20"/>
              </w:rPr>
              <w:t xml:space="preserve">4,090,800</w:t>
            </w:r>
          </w:p>
        </w:tc>
      </w:tr>
      <w:tr>
        <w:tc>
          <w:tcPr>
            <w:tcW w:type="dxa" w:w="4200"/>
          </w:tcPr>
          <w:p>
            <w:r>
              <w:rPr>
                <w:rFonts w:ascii="Calibri" w:cs="Calibri" w:eastAsia="Calibri" w:hAnsi="Calibri"/>
                <w:b w:val="false"/>
                <w:bCs w:val="false"/>
                <w:color w:val="000000"/>
                <w:sz w:val="20"/>
                <w:szCs w:val="20"/>
              </w:rPr>
              <w:t xml:space="preserve">g2g_all_catchments_clean.csv</w:t>
            </w:r>
          </w:p>
        </w:tc>
        <w:tc>
          <w:tcPr>
            <w:tcW w:type="dxa" w:w="4400"/>
          </w:tcPr>
          <w:p>
            <w:r>
              <w:rPr>
                <w:rFonts w:ascii="Calibri" w:cs="Calibri" w:eastAsia="Calibri" w:hAnsi="Calibri"/>
                <w:b w:val="false"/>
                <w:bCs w:val="false"/>
                <w:color w:val="000000"/>
                <w:sz w:val="20"/>
                <w:szCs w:val="20"/>
              </w:rPr>
              <w:t xml:space="preserve">Real-history flow data (1963–2018), G2G model</w:t>
            </w:r>
          </w:p>
        </w:tc>
        <w:tc>
          <w:tcPr>
            <w:tcW w:type="dxa" w:w="750"/>
          </w:tcPr>
          <w:p>
            <w:r>
              <w:rPr>
                <w:rFonts w:ascii="Calibri" w:cs="Calibri" w:eastAsia="Calibri" w:hAnsi="Calibri"/>
                <w:b w:val="false"/>
                <w:bCs w:val="false"/>
                <w:color w:val="000000"/>
                <w:sz w:val="20"/>
                <w:szCs w:val="20"/>
              </w:rPr>
              <w:t xml:space="preserve">3,804,444</w:t>
            </w:r>
          </w:p>
        </w:tc>
      </w:tr>
      <w:tr>
        <w:tc>
          <w:tcPr>
            <w:tcW w:type="dxa" w:w="4200"/>
          </w:tcPr>
          <w:p>
            <w:r>
              <w:rPr>
                <w:rFonts w:ascii="Calibri" w:cs="Calibri" w:eastAsia="Calibri" w:hAnsi="Calibri"/>
                <w:b w:val="false"/>
                <w:bCs w:val="false"/>
                <w:color w:val="000000"/>
                <w:sz w:val="20"/>
                <w:szCs w:val="20"/>
              </w:rPr>
              <w:t xml:space="preserve">gr6j_simrcm_all_catchments_clean.csv</w:t>
            </w:r>
          </w:p>
        </w:tc>
        <w:tc>
          <w:tcPr>
            <w:tcW w:type="dxa" w:w="4400"/>
          </w:tcPr>
          <w:p>
            <w:r>
              <w:rPr>
                <w:rFonts w:ascii="Calibri" w:cs="Calibri" w:eastAsia="Calibri" w:hAnsi="Calibri"/>
                <w:b w:val="false"/>
                <w:bCs w:val="false"/>
                <w:color w:val="000000"/>
                <w:sz w:val="20"/>
                <w:szCs w:val="20"/>
              </w:rPr>
              <w:t xml:space="preserve">Future-projection flow data (1982–2080), GR6J model</w:t>
            </w:r>
          </w:p>
        </w:tc>
        <w:tc>
          <w:tcPr>
            <w:tcW w:type="dxa" w:w="750"/>
          </w:tcPr>
          <w:p>
            <w:r>
              <w:rPr>
                <w:rFonts w:ascii="Calibri" w:cs="Calibri" w:eastAsia="Calibri" w:hAnsi="Calibri"/>
                <w:b w:val="false"/>
                <w:bCs w:val="false"/>
                <w:color w:val="000000"/>
                <w:sz w:val="20"/>
                <w:szCs w:val="20"/>
              </w:rPr>
              <w:t xml:space="preserve">7,056,000</w:t>
            </w:r>
          </w:p>
        </w:tc>
      </w:tr>
      <w:tr>
        <w:tc>
          <w:tcPr>
            <w:tcW w:type="dxa" w:w="4200"/>
          </w:tcPr>
          <w:p>
            <w:r>
              <w:rPr>
                <w:rFonts w:ascii="Calibri" w:cs="Calibri" w:eastAsia="Calibri" w:hAnsi="Calibri"/>
                <w:b w:val="false"/>
                <w:bCs w:val="false"/>
                <w:color w:val="000000"/>
                <w:sz w:val="20"/>
                <w:szCs w:val="20"/>
              </w:rPr>
              <w:t xml:space="preserve">gr4j_simrcm_all_catchments_clean.csv</w:t>
            </w:r>
          </w:p>
        </w:tc>
        <w:tc>
          <w:tcPr>
            <w:tcW w:type="dxa" w:w="4400"/>
          </w:tcPr>
          <w:p>
            <w:r>
              <w:rPr>
                <w:rFonts w:ascii="Calibri" w:cs="Calibri" w:eastAsia="Calibri" w:hAnsi="Calibri"/>
                <w:b w:val="false"/>
                <w:bCs w:val="false"/>
                <w:color w:val="000000"/>
                <w:sz w:val="20"/>
                <w:szCs w:val="20"/>
              </w:rPr>
              <w:t xml:space="preserve">Future-projection flow data (1982–2080), GR4J model</w:t>
            </w:r>
          </w:p>
        </w:tc>
        <w:tc>
          <w:tcPr>
            <w:tcW w:type="dxa" w:w="750"/>
          </w:tcPr>
          <w:p>
            <w:r>
              <w:rPr>
                <w:rFonts w:ascii="Calibri" w:cs="Calibri" w:eastAsia="Calibri" w:hAnsi="Calibri"/>
                <w:b w:val="false"/>
                <w:bCs w:val="false"/>
                <w:color w:val="000000"/>
                <w:sz w:val="20"/>
                <w:szCs w:val="20"/>
              </w:rPr>
              <w:t xml:space="preserve">7,056,000</w:t>
            </w:r>
          </w:p>
        </w:tc>
      </w:tr>
      <w:tr>
        <w:tc>
          <w:tcPr>
            <w:tcW w:type="dxa" w:w="4200"/>
          </w:tcPr>
          <w:p>
            <w:r>
              <w:rPr>
                <w:rFonts w:ascii="Calibri" w:cs="Calibri" w:eastAsia="Calibri" w:hAnsi="Calibri"/>
                <w:b w:val="false"/>
                <w:bCs w:val="false"/>
                <w:color w:val="000000"/>
                <w:sz w:val="20"/>
                <w:szCs w:val="20"/>
              </w:rPr>
              <w:t xml:space="preserve">g2g_simrcm_all_catchments_clean.csv</w:t>
            </w:r>
          </w:p>
        </w:tc>
        <w:tc>
          <w:tcPr>
            <w:tcW w:type="dxa" w:w="4400"/>
          </w:tcPr>
          <w:p>
            <w:r>
              <w:rPr>
                <w:rFonts w:ascii="Calibri" w:cs="Calibri" w:eastAsia="Calibri" w:hAnsi="Calibri"/>
                <w:b w:val="false"/>
                <w:bCs w:val="false"/>
                <w:color w:val="000000"/>
                <w:sz w:val="20"/>
                <w:szCs w:val="20"/>
              </w:rPr>
              <w:t xml:space="preserve">Future-projection flow data (1982–2080), G2G model</w:t>
            </w:r>
          </w:p>
        </w:tc>
        <w:tc>
          <w:tcPr>
            <w:tcW w:type="dxa" w:w="750"/>
          </w:tcPr>
          <w:p>
            <w:r>
              <w:rPr>
                <w:rFonts w:ascii="Calibri" w:cs="Calibri" w:eastAsia="Calibri" w:hAnsi="Calibri"/>
                <w:b w:val="false"/>
                <w:bCs w:val="false"/>
                <w:color w:val="000000"/>
                <w:sz w:val="20"/>
                <w:szCs w:val="20"/>
              </w:rPr>
              <w:t xml:space="preserve">6,562,080</w:t>
            </w:r>
          </w:p>
        </w:tc>
      </w:tr>
      <w:tr>
        <w:tc>
          <w:tcPr>
            <w:tcW w:type="dxa" w:w="4200"/>
          </w:tcPr>
          <w:p>
            <w:r>
              <w:rPr>
                <w:rFonts w:ascii="Calibri" w:cs="Calibri" w:eastAsia="Calibri" w:hAnsi="Calibri"/>
                <w:b w:val="false"/>
                <w:bCs w:val="false"/>
                <w:color w:val="000000"/>
                <w:sz w:val="20"/>
                <w:szCs w:val="20"/>
              </w:rPr>
              <w:t xml:space="preserve">Station_Locations.xlsx</w:t>
            </w:r>
          </w:p>
        </w:tc>
        <w:tc>
          <w:tcPr>
            <w:tcW w:type="dxa" w:w="4400"/>
          </w:tcPr>
          <w:p>
            <w:r>
              <w:rPr>
                <w:rFonts w:ascii="Calibri" w:cs="Calibri" w:eastAsia="Calibri" w:hAnsi="Calibri"/>
                <w:b w:val="false"/>
                <w:bCs w:val="false"/>
                <w:color w:val="000000"/>
                <w:sz w:val="20"/>
                <w:szCs w:val="20"/>
              </w:rPr>
              <w:t xml:space="preserve">Where each of the 200 stations actually is, plus data-quality notes</w:t>
            </w:r>
          </w:p>
        </w:tc>
        <w:tc>
          <w:tcPr>
            <w:tcW w:type="dxa" w:w="750"/>
          </w:tcPr>
          <w:p>
            <w:r>
              <w:rPr>
                <w:rFonts w:ascii="Calibri" w:cs="Calibri" w:eastAsia="Calibri" w:hAnsi="Calibri"/>
                <w:b w:val="false"/>
                <w:bCs w:val="false"/>
                <w:color w:val="000000"/>
                <w:sz w:val="20"/>
                <w:szCs w:val="20"/>
              </w:rPr>
              <w:t xml:space="preserve">200</w:t>
            </w:r>
          </w:p>
        </w:tc>
      </w:tr>
      <w:tr>
        <w:tc>
          <w:tcPr>
            <w:tcW w:type="dxa" w:w="4200"/>
          </w:tcPr>
          <w:p>
            <w:r>
              <w:rPr>
                <w:rFonts w:ascii="Calibri" w:cs="Calibri" w:eastAsia="Calibri" w:hAnsi="Calibri"/>
                <w:b w:val="false"/>
                <w:bCs w:val="false"/>
                <w:color w:val="000000"/>
                <w:sz w:val="20"/>
                <w:szCs w:val="20"/>
              </w:rPr>
              <w:t xml:space="preserve">eFLaG_Station_Metadata.xlsx</w:t>
            </w:r>
          </w:p>
        </w:tc>
        <w:tc>
          <w:tcPr>
            <w:tcW w:type="dxa" w:w="4400"/>
          </w:tcPr>
          <w:p>
            <w:r>
              <w:rPr>
                <w:rFonts w:ascii="Calibri" w:cs="Calibri" w:eastAsia="Calibri" w:hAnsi="Calibri"/>
                <w:b w:val="false"/>
                <w:bCs w:val="false"/>
                <w:color w:val="000000"/>
                <w:sz w:val="20"/>
                <w:szCs w:val="20"/>
              </w:rPr>
              <w:t xml:space="preserve">UKCEH's own original station metadata</w:t>
            </w:r>
          </w:p>
        </w:tc>
        <w:tc>
          <w:tcPr>
            <w:tcW w:type="dxa" w:w="750"/>
          </w:tcPr>
          <w:p>
            <w:r>
              <w:rPr>
                <w:rFonts w:ascii="Calibri" w:cs="Calibri" w:eastAsia="Calibri" w:hAnsi="Calibri"/>
                <w:b w:val="false"/>
                <w:bCs w:val="false"/>
                <w:color w:val="000000"/>
                <w:sz w:val="20"/>
                <w:szCs w:val="20"/>
              </w:rPr>
              <w:t xml:space="preserve">200</w:t>
            </w:r>
          </w:p>
        </w:tc>
      </w:tr>
      <w:tr>
        <w:tc>
          <w:tcPr>
            <w:tcW w:type="dxa" w:w="4200"/>
          </w:tcPr>
          <w:p>
            <w:r>
              <w:rPr>
                <w:rFonts w:ascii="Calibri" w:cs="Calibri" w:eastAsia="Calibri" w:hAnsi="Calibri"/>
                <w:b w:val="false"/>
                <w:bCs w:val="false"/>
                <w:color w:val="000000"/>
                <w:sz w:val="20"/>
                <w:szCs w:val="20"/>
              </w:rPr>
              <w:t xml:space="preserve">eFLaG_EIDC_Supporting_Documentation.pdf</w:t>
            </w:r>
          </w:p>
        </w:tc>
        <w:tc>
          <w:tcPr>
            <w:tcW w:type="dxa" w:w="4400"/>
          </w:tcPr>
          <w:p>
            <w:r>
              <w:rPr>
                <w:rFonts w:ascii="Calibri" w:cs="Calibri" w:eastAsia="Calibri" w:hAnsi="Calibri"/>
                <w:b w:val="false"/>
                <w:bCs w:val="false"/>
                <w:color w:val="000000"/>
                <w:sz w:val="20"/>
                <w:szCs w:val="20"/>
              </w:rPr>
              <w:t xml:space="preserve">UKCEH's own official technical documentation</w:t>
            </w:r>
          </w:p>
        </w:tc>
        <w:tc>
          <w:tcPr>
            <w:tcW w:type="dxa" w:w="750"/>
          </w:tcPr>
          <w:p>
            <w:r>
              <w:rPr>
                <w:rFonts w:ascii="Calibri" w:cs="Calibri" w:eastAsia="Calibri" w:hAnsi="Calibri"/>
                <w:b w:val="false"/>
                <w:bCs w:val="false"/>
                <w:color w:val="000000"/>
                <w:sz w:val="20"/>
                <w:szCs w:val="20"/>
              </w:rPr>
              <w:t xml:space="preserve">—</w:t>
            </w:r>
          </w:p>
        </w:tc>
      </w:tr>
    </w:tbl>
    <w:p>
      <w:pPr>
        <w:spacing w:after="160"/>
      </w:pPr>
      <w:r>
        <w:rPr>
          <w:rFonts w:ascii="Calibri" w:cs="Calibri" w:eastAsia="Calibri" w:hAnsi="Calibri"/>
          <w:b w:val="false"/>
          <w:bCs w:val="false"/>
          <w:i w:val="false"/>
          <w:iCs w:val="false"/>
          <w:sz w:val="22"/>
          <w:szCs w:val="22"/>
        </w:rPr>
        <w:t xml:space="preserve"/>
      </w:r>
    </w:p>
    <w:p>
      <w:pPr>
        <w:spacing w:after="160"/>
      </w:pPr>
      <w:r>
        <w:rPr>
          <w:rFonts w:ascii="Calibri" w:cs="Calibri" w:eastAsia="Calibri" w:hAnsi="Calibri"/>
          <w:b w:val="false"/>
          <w:bCs w:val="false"/>
          <w:i/>
          <w:iCs/>
          <w:sz w:val="22"/>
          <w:szCs w:val="22"/>
        </w:rPr>
        <w:t xml:space="preserve">Data files are hosted on Zenodo (DOI: 10.5281/zenodo.21475448), too large for GitHub. The two download scripts (hydrology_download_clean.py and hydrology_simrcm_download_clean.py) work for any of the four eFLaG models, including PDM if it's ever needed later.</w:t>
      </w:r>
    </w:p>
    <w:p>
      <w:pPr>
        <w:pStyle w:val="Heading1"/>
        <w:spacing w:after="160" w:before="300"/>
      </w:pPr>
      <w:r>
        <w:t xml:space="preserve">3. Three Ways of Estimating Flow: GR6J, GR4J, and G2G</w:t>
      </w:r>
    </w:p>
    <w:p>
      <w:pPr>
        <w:spacing w:after="160"/>
      </w:pPr>
      <w:r>
        <w:rPr>
          <w:rFonts w:ascii="Calibri" w:cs="Calibri" w:eastAsia="Calibri" w:hAnsi="Calibri"/>
          <w:b/>
          <w:bCs/>
          <w:i w:val="false"/>
          <w:iCs w:val="false"/>
          <w:sz w:val="22"/>
          <w:szCs w:val="22"/>
        </w:rPr>
        <w:t xml:space="preserve">GR6J and GR4J</w:t>
      </w:r>
    </w:p>
    <w:p>
      <w:pPr>
        <w:spacing w:after="160"/>
      </w:pPr>
      <w:r>
        <w:rPr>
          <w:rFonts w:ascii="Calibri" w:cs="Calibri" w:eastAsia="Calibri" w:hAnsi="Calibri"/>
          <w:b w:val="false"/>
          <w:bCs w:val="false"/>
          <w:i w:val="false"/>
          <w:iCs w:val="false"/>
          <w:sz w:val="22"/>
          <w:szCs w:val="22"/>
        </w:rPr>
        <w:t xml:space="preserve">Both treat each river catchment as a single unit, individually tuned ("calibrated") to that station's own real historical measurements. GR4J uses four internal parameters, GR6J is a six-parameter variant specifically built to improve low-flow and groundwater-exchange behaviour.</w:t>
      </w:r>
    </w:p>
    <w:p>
      <w:pPr>
        <w:spacing w:after="160"/>
      </w:pPr>
      <w:r>
        <w:rPr>
          <w:rFonts w:ascii="Calibri" w:cs="Calibri" w:eastAsia="Calibri" w:hAnsi="Calibri"/>
          <w:b/>
          <w:bCs/>
          <w:i w:val="false"/>
          <w:iCs w:val="false"/>
          <w:sz w:val="22"/>
          <w:szCs w:val="22"/>
        </w:rPr>
        <w:t xml:space="preserve">G2G</w:t>
      </w:r>
    </w:p>
    <w:p>
      <w:pPr>
        <w:spacing w:after="160"/>
      </w:pPr>
      <w:r>
        <w:rPr>
          <w:rFonts w:ascii="Calibri" w:cs="Calibri" w:eastAsia="Calibri" w:hAnsi="Calibri"/>
          <w:b w:val="false"/>
          <w:bCs w:val="false"/>
          <w:i w:val="false"/>
          <w:iCs w:val="false"/>
          <w:sz w:val="22"/>
          <w:szCs w:val="22"/>
        </w:rPr>
        <w:t xml:space="preserve">Works completely differently: a 1km grid across all of Great Britain, simulated cell by cell from real soil, slope, and land cover, not tuned to any individual station. This is the model the Environment Agency uses operationally for flood forecasting, because it works everywhere at once, including places with no gauge at all.</w:t>
      </w:r>
    </w:p>
    <w:p>
      <w:pPr>
        <w:spacing w:after="160"/>
      </w:pPr>
      <w:r>
        <w:rPr>
          <w:rFonts w:ascii="Calibri" w:cs="Calibri" w:eastAsia="Calibri" w:hAnsi="Calibri"/>
          <w:b/>
          <w:bCs/>
          <w:i w:val="false"/>
          <w:iCs w:val="false"/>
          <w:sz w:val="22"/>
          <w:szCs w:val="22"/>
        </w:rPr>
        <w:t xml:space="preserve">How they actually compare, checked across all 200 stations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shd w:fill="1F4E78" w:val="clear"/>
          </w:tcPr>
          <w:p>
            <w:r>
              <w:rPr>
                <w:rFonts w:ascii="Calibri" w:cs="Calibri" w:eastAsia="Calibri" w:hAnsi="Calibri"/>
                <w:b/>
                <w:bCs/>
                <w:color w:val="FFFFFF"/>
                <w:sz w:val="20"/>
                <w:szCs w:val="20"/>
              </w:rPr>
              <w:t xml:space="preserve">Model</w:t>
            </w:r>
          </w:p>
        </w:tc>
        <w:tc>
          <w:tcPr>
            <w:tcW w:type="dxa" w:w="2000"/>
            <w:shd w:fill="1F4E78" w:val="clear"/>
          </w:tcPr>
          <w:p>
            <w:r>
              <w:rPr>
                <w:rFonts w:ascii="Calibri" w:cs="Calibri" w:eastAsia="Calibri" w:hAnsi="Calibri"/>
                <w:b/>
                <w:bCs/>
                <w:color w:val="FFFFFF"/>
                <w:sz w:val="20"/>
                <w:szCs w:val="20"/>
              </w:rPr>
              <w:t xml:space="preserve">Mean NSE</w:t>
            </w:r>
          </w:p>
        </w:tc>
        <w:tc>
          <w:tcPr>
            <w:tcW w:type="dxa" w:w="2000"/>
            <w:shd w:fill="1F4E78" w:val="clear"/>
          </w:tcPr>
          <w:p>
            <w:r>
              <w:rPr>
                <w:rFonts w:ascii="Calibri" w:cs="Calibri" w:eastAsia="Calibri" w:hAnsi="Calibri"/>
                <w:b/>
                <w:bCs/>
                <w:color w:val="FFFFFF"/>
                <w:sz w:val="20"/>
                <w:szCs w:val="20"/>
              </w:rPr>
              <w:t xml:space="preserve">Median NSE</w:t>
            </w:r>
          </w:p>
        </w:tc>
      </w:tr>
      <w:tr>
        <w:tc>
          <w:tcPr>
            <w:tcW w:type="dxa" w:w="2000"/>
          </w:tcPr>
          <w:p>
            <w:r>
              <w:rPr>
                <w:rFonts w:ascii="Calibri" w:cs="Calibri" w:eastAsia="Calibri" w:hAnsi="Calibri"/>
                <w:b w:val="false"/>
                <w:bCs w:val="false"/>
                <w:color w:val="000000"/>
                <w:sz w:val="20"/>
                <w:szCs w:val="20"/>
              </w:rPr>
              <w:t xml:space="preserve">G2G</w:t>
            </w:r>
          </w:p>
        </w:tc>
        <w:tc>
          <w:tcPr>
            <w:tcW w:type="dxa" w:w="2000"/>
          </w:tcPr>
          <w:p>
            <w:r>
              <w:rPr>
                <w:rFonts w:ascii="Calibri" w:cs="Calibri" w:eastAsia="Calibri" w:hAnsi="Calibri"/>
                <w:b w:val="false"/>
                <w:bCs w:val="false"/>
                <w:color w:val="000000"/>
                <w:sz w:val="20"/>
                <w:szCs w:val="20"/>
              </w:rPr>
              <w:t xml:space="preserve">0.538</w:t>
            </w:r>
          </w:p>
        </w:tc>
        <w:tc>
          <w:tcPr>
            <w:tcW w:type="dxa" w:w="2000"/>
          </w:tcPr>
          <w:p>
            <w:r>
              <w:rPr>
                <w:rFonts w:ascii="Calibri" w:cs="Calibri" w:eastAsia="Calibri" w:hAnsi="Calibri"/>
                <w:b w:val="false"/>
                <w:bCs w:val="false"/>
                <w:color w:val="000000"/>
                <w:sz w:val="20"/>
                <w:szCs w:val="20"/>
              </w:rPr>
              <w:t xml:space="preserve">0.710</w:t>
            </w:r>
          </w:p>
        </w:tc>
      </w:tr>
      <w:tr>
        <w:tc>
          <w:tcPr>
            <w:tcW w:type="dxa" w:w="2000"/>
          </w:tcPr>
          <w:p>
            <w:r>
              <w:rPr>
                <w:rFonts w:ascii="Calibri" w:cs="Calibri" w:eastAsia="Calibri" w:hAnsi="Calibri"/>
                <w:b w:val="false"/>
                <w:bCs w:val="false"/>
                <w:color w:val="000000"/>
                <w:sz w:val="20"/>
                <w:szCs w:val="20"/>
              </w:rPr>
              <w:t xml:space="preserve">GR4J</w:t>
            </w:r>
          </w:p>
        </w:tc>
        <w:tc>
          <w:tcPr>
            <w:tcW w:type="dxa" w:w="2000"/>
          </w:tcPr>
          <w:p>
            <w:r>
              <w:rPr>
                <w:rFonts w:ascii="Calibri" w:cs="Calibri" w:eastAsia="Calibri" w:hAnsi="Calibri"/>
                <w:b w:val="false"/>
                <w:bCs w:val="false"/>
                <w:color w:val="000000"/>
                <w:sz w:val="20"/>
                <w:szCs w:val="20"/>
              </w:rPr>
              <w:t xml:space="preserve">0.845</w:t>
            </w:r>
          </w:p>
        </w:tc>
        <w:tc>
          <w:tcPr>
            <w:tcW w:type="dxa" w:w="2000"/>
          </w:tcPr>
          <w:p>
            <w:r>
              <w:rPr>
                <w:rFonts w:ascii="Calibri" w:cs="Calibri" w:eastAsia="Calibri" w:hAnsi="Calibri"/>
                <w:b w:val="false"/>
                <w:bCs w:val="false"/>
                <w:color w:val="000000"/>
                <w:sz w:val="20"/>
                <w:szCs w:val="20"/>
              </w:rPr>
              <w:t xml:space="preserve">0.850</w:t>
            </w:r>
          </w:p>
        </w:tc>
      </w:tr>
      <w:tr>
        <w:tc>
          <w:tcPr>
            <w:tcW w:type="dxa" w:w="2000"/>
          </w:tcPr>
          <w:p>
            <w:r>
              <w:rPr>
                <w:rFonts w:ascii="Calibri" w:cs="Calibri" w:eastAsia="Calibri" w:hAnsi="Calibri"/>
                <w:b w:val="false"/>
                <w:bCs w:val="false"/>
                <w:color w:val="000000"/>
                <w:sz w:val="20"/>
                <w:szCs w:val="20"/>
              </w:rPr>
              <w:t xml:space="preserve">GR6J</w:t>
            </w:r>
          </w:p>
        </w:tc>
        <w:tc>
          <w:tcPr>
            <w:tcW w:type="dxa" w:w="2000"/>
          </w:tcPr>
          <w:p>
            <w:r>
              <w:rPr>
                <w:rFonts w:ascii="Calibri" w:cs="Calibri" w:eastAsia="Calibri" w:hAnsi="Calibri"/>
                <w:b w:val="false"/>
                <w:bCs w:val="false"/>
                <w:color w:val="000000"/>
                <w:sz w:val="20"/>
                <w:szCs w:val="20"/>
              </w:rPr>
              <w:t xml:space="preserve">0.850</w:t>
            </w:r>
          </w:p>
        </w:tc>
        <w:tc>
          <w:tcPr>
            <w:tcW w:type="dxa" w:w="2000"/>
          </w:tcPr>
          <w:p>
            <w:r>
              <w:rPr>
                <w:rFonts w:ascii="Calibri" w:cs="Calibri" w:eastAsia="Calibri" w:hAnsi="Calibri"/>
                <w:b w:val="false"/>
                <w:bCs w:val="false"/>
                <w:color w:val="000000"/>
                <w:sz w:val="20"/>
                <w:szCs w:val="20"/>
              </w:rPr>
              <w:t xml:space="preserve">0.860</w:t>
            </w:r>
          </w:p>
        </w:tc>
      </w:tr>
    </w:tbl>
    <w:p>
      <w:pPr>
        <w:spacing w:after="160"/>
      </w:pPr>
      <w:r>
        <w:rPr>
          <w:rFonts w:ascii="Calibri" w:cs="Calibri" w:eastAsia="Calibri" w:hAnsi="Calibri"/>
          <w:b w:val="false"/>
          <w:bCs w:val="false"/>
          <w:i w:val="false"/>
          <w:iCs w:val="false"/>
          <w:sz w:val="22"/>
          <w:szCs w:val="22"/>
        </w:rPr>
        <w:t xml:space="preserve"/>
      </w:r>
    </w:p>
    <w:p>
      <w:pPr>
        <w:spacing w:after="160"/>
      </w:pPr>
      <w:r>
        <w:rPr>
          <w:rFonts w:ascii="Calibri" w:cs="Calibri" w:eastAsia="Calibri" w:hAnsi="Calibri"/>
          <w:b w:val="false"/>
          <w:bCs w:val="false"/>
          <w:i w:val="false"/>
          <w:iCs w:val="false"/>
          <w:sz w:val="22"/>
          <w:szCs w:val="22"/>
        </w:rPr>
        <w:t xml:space="preserve">On overall accuracy (NSE), GR4J and GR6J are statistically tied, a difference of 0.005 is noise, not a meaningful gap. Both clearly outperform G2G, whose average is dragged down further by at least one catchment scoring a badly negative fit. Neither GR4J nor GR6J can be called "better" on this basis alone.</w:t>
      </w:r>
    </w:p>
    <w:p>
      <w:pPr>
        <w:spacing w:after="160"/>
      </w:pPr>
      <w:r>
        <w:rPr>
          <w:rFonts w:ascii="Calibri" w:cs="Calibri" w:eastAsia="Calibri" w:hAnsi="Calibri"/>
          <w:b/>
          <w:bCs/>
          <w:i w:val="false"/>
          <w:iCs w:val="false"/>
          <w:sz w:val="22"/>
          <w:szCs w:val="22"/>
        </w:rPr>
        <w:t xml:space="preserve">There is one real, decisive difference, worth knowing</w:t>
      </w:r>
    </w:p>
    <w:p>
      <w:pPr>
        <w:spacing w:after="160"/>
      </w:pPr>
      <w:r>
        <w:rPr>
          <w:rFonts w:ascii="Calibri" w:cs="Calibri" w:eastAsia="Calibri" w:hAnsi="Calibri"/>
          <w:b w:val="false"/>
          <w:bCs w:val="false"/>
          <w:i w:val="false"/>
          <w:iCs w:val="false"/>
          <w:sz w:val="22"/>
          <w:szCs w:val="22"/>
        </w:rPr>
        <w:t xml:space="preserve">Checked specifically on low-flow accuracy (the logNSE metric, which UKCEH's own documentation labels as low-flow-focused), GR6J beats GR4J at 184 of 200 stations, not a close call. This matters for chemical-fate applications specifically: pollutant concentration is typically highest during low flow, since there is less water available to dilute it. GR6J's low-flow strength is the actual, defensible reason to prefer it for that kind of work, not its (statistically tied) overall NSE.</w:t>
      </w:r>
    </w:p>
    <w:p>
      <w:pPr>
        <w:spacing w:after="160"/>
      </w:pPr>
      <w:r>
        <w:rPr>
          <w:rFonts w:ascii="Calibri" w:cs="Calibri" w:eastAsia="Calibri" w:hAnsi="Calibri"/>
          <w:b w:val="false"/>
          <w:bCs w:val="false"/>
          <w:i w:val="false"/>
          <w:iCs w:val="false"/>
          <w:sz w:val="22"/>
          <w:szCs w:val="22"/>
        </w:rPr>
        <w:t xml:space="preserve">On G2G's 186-of-200 coverage: confirmed directly in UKCEH's own dataset documentation (their published folder structure lists 186 files for G2G against 200 for the other three models), not something noticed as a possible error. Nine of the 14 missing stations are in Northern Ireland, entirely outside G2G's Great Britain-only coverage. The other five are small English catchments; UKCEH's documentation does not state a reason for those.</w:t>
      </w:r>
    </w:p>
    <w:p>
      <w:pPr>
        <w:pStyle w:val="Heading1"/>
        <w:spacing w:after="160" w:before="300"/>
      </w:pPr>
      <w:r>
        <w:t xml:space="preserve">4. Two Kinds of Data: Real History and Future Projections</w:t>
      </w:r>
    </w:p>
    <w:p>
      <w:pPr>
        <w:spacing w:after="160"/>
      </w:pPr>
      <w:r>
        <w:rPr>
          <w:rFonts w:ascii="Calibri" w:cs="Calibri" w:eastAsia="Calibri" w:hAnsi="Calibri"/>
          <w:b/>
          <w:bCs/>
          <w:i w:val="false"/>
          <w:iCs w:val="false"/>
          <w:sz w:val="22"/>
          <w:szCs w:val="22"/>
        </w:rPr>
        <w:t xml:space="preserve">simobs (the non-"simrcm" files)</w:t>
      </w:r>
    </w:p>
    <w:p>
      <w:pPr>
        <w:spacing w:after="160"/>
      </w:pPr>
      <w:r>
        <w:rPr>
          <w:rFonts w:ascii="Calibri" w:cs="Calibri" w:eastAsia="Calibri" w:hAnsi="Calibri"/>
          <w:b w:val="false"/>
          <w:bCs w:val="false"/>
          <w:i w:val="false"/>
          <w:iCs w:val="false"/>
          <w:sz w:val="22"/>
          <w:szCs w:val="22"/>
        </w:rPr>
        <w:t xml:space="preserve">Driven by real historical weather. Covers 1 January 1963 to 30 September 2018.</w:t>
      </w:r>
    </w:p>
    <w:p>
      <w:pPr>
        <w:spacing w:after="160"/>
      </w:pPr>
      <w:r>
        <w:rPr>
          <w:rFonts w:ascii="Calibri" w:cs="Calibri" w:eastAsia="Calibri" w:hAnsi="Calibri"/>
          <w:b/>
          <w:bCs/>
          <w:i w:val="false"/>
          <w:iCs w:val="false"/>
          <w:sz w:val="22"/>
          <w:szCs w:val="22"/>
        </w:rPr>
        <w:t xml:space="preserve">simrcm (the "simrcm" files)</w:t>
      </w:r>
    </w:p>
    <w:p>
      <w:pPr>
        <w:spacing w:after="160"/>
      </w:pPr>
      <w:r>
        <w:rPr>
          <w:rFonts w:ascii="Calibri" w:cs="Calibri" w:eastAsia="Calibri" w:hAnsi="Calibri"/>
          <w:b w:val="false"/>
          <w:bCs w:val="false"/>
          <w:i w:val="false"/>
          <w:iCs w:val="false"/>
          <w:sz w:val="22"/>
          <w:szCs w:val="22"/>
        </w:rPr>
        <w:t xml:space="preserve">Driven by 12 different future-climate projections (UKCP18), covering December 1982 to 2080, one column per projection (RCM_01, RCM_04, RCM_05, and so on, the numbering skips a few, those specific projections were dropped nationally before publication).</w:t>
      </w:r>
    </w:p>
    <w:p>
      <w:pPr>
        <w:spacing w:after="160"/>
      </w:pPr>
      <w:r>
        <w:rPr>
          <w:rFonts w:ascii="Calibri" w:cs="Calibri" w:eastAsia="Calibri" w:hAnsi="Calibri"/>
          <w:b/>
          <w:bCs/>
          <w:i/>
          <w:iCs/>
          <w:sz w:val="22"/>
          <w:szCs w:val="22"/>
        </w:rPr>
        <w:t xml:space="preserve">A caveat on comparing simobs to simrcm</w:t>
      </w:r>
    </w:p>
    <w:p>
      <w:pPr>
        <w:spacing w:after="160"/>
      </w:pPr>
      <w:r>
        <w:rPr>
          <w:rFonts w:ascii="Calibri" w:cs="Calibri" w:eastAsia="Calibri" w:hAnsi="Calibri"/>
          <w:b w:val="false"/>
          <w:bCs w:val="false"/>
          <w:i w:val="false"/>
          <w:iCs w:val="false"/>
          <w:sz w:val="22"/>
          <w:szCs w:val="22"/>
        </w:rPr>
        <w:t xml:space="preserve">UKCEH's own validation approach does not compare simrcm to simobs day-by-day. Climate projections are not meant to reproduce the specific sequence of real historical events, only the overall statistical pattern of flow. Their own documentation compares the two using flow-duration curves, a statistical comparison, not matched dates.</w:t>
      </w:r>
    </w:p>
    <w:p>
      <w:pPr>
        <w:spacing w:after="160"/>
      </w:pPr>
      <w:r>
        <w:rPr>
          <w:rFonts w:ascii="Calibri" w:cs="Calibri" w:eastAsia="Calibri" w:hAnsi="Calibri"/>
          <w:b/>
          <w:bCs/>
          <w:i/>
          <w:iCs/>
          <w:sz w:val="22"/>
          <w:szCs w:val="22"/>
        </w:rPr>
        <w:t xml:space="preserve">An important technical note on simrcm's dates</w:t>
      </w:r>
    </w:p>
    <w:p>
      <w:pPr>
        <w:spacing w:after="160"/>
      </w:pPr>
      <w:r>
        <w:rPr>
          <w:rFonts w:ascii="Calibri" w:cs="Calibri" w:eastAsia="Calibri" w:hAnsi="Calibri"/>
          <w:b w:val="false"/>
          <w:bCs w:val="false"/>
          <w:i w:val="false"/>
          <w:iCs w:val="false"/>
          <w:sz w:val="22"/>
          <w:szCs w:val="22"/>
        </w:rPr>
        <w:t xml:space="preserve">simrcm uses a simplified 360-day calendar (12 months of exactly 30 days, no leap years), standard for this kind of climate modelling but not a real calendar. There is no 31st of any month, and no 29th of February. Use a calendar-aware tool (the Python library cftime) for date calculations, a standard date function will reject or misread these dates.</w:t>
      </w:r>
    </w:p>
    <w:p>
      <w:pPr>
        <w:pStyle w:val="Heading1"/>
        <w:spacing w:after="160" w:before="300"/>
      </w:pPr>
      <w:r>
        <w:t xml:space="preserve">5. How Good Is This Data? Understanding the Quality Information</w:t>
      </w:r>
    </w:p>
    <w:p>
      <w:pPr>
        <w:spacing w:after="160"/>
      </w:pPr>
      <w:r>
        <w:rPr>
          <w:rFonts w:ascii="Calibri" w:cs="Calibri" w:eastAsia="Calibri" w:hAnsi="Calibri"/>
          <w:b/>
          <w:bCs/>
          <w:i w:val="false"/>
          <w:iCs w:val="false"/>
          <w:sz w:val="22"/>
          <w:szCs w:val="22"/>
        </w:rPr>
        <w:t xml:space="preserve">Model performance (NSE)</w:t>
      </w:r>
    </w:p>
    <w:p>
      <w:pPr>
        <w:spacing w:after="160"/>
      </w:pPr>
      <w:r>
        <w:rPr>
          <w:rFonts w:ascii="Calibri" w:cs="Calibri" w:eastAsia="Calibri" w:hAnsi="Calibri"/>
          <w:b w:val="false"/>
          <w:bCs w:val="false"/>
          <w:i w:val="false"/>
          <w:iCs w:val="false"/>
          <w:sz w:val="22"/>
          <w:szCs w:val="22"/>
        </w:rPr>
        <w:t xml:space="preserve">NSE (Nash-Sutcliffe Efficiency): how much better is this model than simply guessing the long-term average flow every day? 1.0 is a perfect match, 0.0 is no better than a lazy average guess, negative means worse than that guess. Above 0.75 is generally very good, 0.65–0.75 good, 0.5–0.65 acceptable.</w:t>
      </w:r>
    </w:p>
    <w:p>
      <w:pPr>
        <w:spacing w:after="160"/>
      </w:pPr>
      <w:r>
        <w:rPr>
          <w:rFonts w:ascii="Calibri" w:cs="Calibri" w:eastAsia="Calibri" w:hAnsi="Calibri"/>
          <w:b w:val="false"/>
          <w:bCs w:val="false"/>
          <w:i w:val="false"/>
          <w:iCs w:val="false"/>
          <w:sz w:val="22"/>
          <w:szCs w:val="22"/>
        </w:rPr>
        <w:t xml:space="preserve">Worth knowing: NSE weights large deviations heavily, making it most sensitive to high-flow events specifically, it is not an all-purpose accuracy score. UKCEH's own documentation uses a fuller set of metrics alongside it, including ones focused specifically on low flows (used in Section 3's model comparison), water balance, and variability.</w:t>
      </w:r>
    </w:p>
    <w:p>
      <w:pPr>
        <w:spacing w:after="160"/>
      </w:pPr>
      <w:r>
        <w:rPr>
          <w:rFonts w:ascii="Calibri" w:cs="Calibri" w:eastAsia="Calibri" w:hAnsi="Calibri"/>
          <w:b/>
          <w:bCs/>
          <w:i w:val="false"/>
          <w:iCs w:val="false"/>
          <w:sz w:val="22"/>
          <w:szCs w:val="22"/>
        </w:rPr>
        <w:t xml:space="preserve">Real measurement quality (published directly by UKCEH)</w:t>
      </w:r>
    </w:p>
    <w:p>
      <w:pPr>
        <w:spacing w:after="160"/>
      </w:pPr>
      <w:r>
        <w:rPr>
          <w:rFonts w:ascii="Calibri" w:cs="Calibri" w:eastAsia="Calibri" w:hAnsi="Calibri"/>
          <w:b w:val="false"/>
          <w:bCs w:val="false"/>
          <w:i w:val="false"/>
          <w:iCs w:val="false"/>
          <w:sz w:val="22"/>
          <w:szCs w:val="22"/>
        </w:rPr>
        <w:t xml:space="preserve">Documented station by station in Station_Locations.xlsx:</w:t>
      </w:r>
    </w:p>
    <w:p>
      <w:pPr>
        <w:pStyle w:val="ListParagraph"/>
        <w:numPr>
          <w:ilvl w:val="0"/>
          <w:numId w:val="1"/>
        </w:numPr>
        <w:spacing w:after="100"/>
      </w:pPr>
      <w:r>
        <w:rPr>
          <w:rFonts w:ascii="Calibri" w:cs="Calibri" w:eastAsia="Calibri" w:hAnsi="Calibri"/>
          <w:sz w:val="22"/>
          <w:szCs w:val="22"/>
        </w:rPr>
        <w:t xml:space="preserve">Gauge_Record_Start / Gauge_Record_End — the real dates that station's physical gauge was actually in operation.</w:t>
      </w:r>
    </w:p>
    <w:p>
      <w:pPr>
        <w:pStyle w:val="ListParagraph"/>
        <w:numPr>
          <w:ilvl w:val="0"/>
          <w:numId w:val="1"/>
        </w:numPr>
        <w:spacing w:after="100"/>
      </w:pPr>
      <w:r>
        <w:rPr>
          <w:rFonts w:ascii="Calibri" w:cs="Calibri" w:eastAsia="Calibri" w:hAnsi="Calibri"/>
          <w:sz w:val="22"/>
          <w:szCs w:val="22"/>
        </w:rPr>
        <w:t xml:space="preserve">Record_Length_Years — how many years of real measurement exist.</w:t>
      </w:r>
    </w:p>
    <w:p>
      <w:pPr>
        <w:pStyle w:val="ListParagraph"/>
        <w:numPr>
          <w:ilvl w:val="0"/>
          <w:numId w:val="1"/>
        </w:numPr>
        <w:spacing w:after="100"/>
      </w:pPr>
      <w:r>
        <w:rPr>
          <w:rFonts w:ascii="Calibri" w:cs="Calibri" w:eastAsia="Calibri" w:hAnsi="Calibri"/>
          <w:sz w:val="22"/>
          <w:szCs w:val="22"/>
        </w:rPr>
        <w:t xml:space="preserve">Percent_Complete — of its operating years, what percentage has no gaps at all.</w:t>
      </w:r>
    </w:p>
    <w:p>
      <w:pPr>
        <w:spacing w:after="160"/>
      </w:pPr>
      <w:r>
        <w:rPr>
          <w:rFonts w:ascii="Calibri" w:cs="Calibri" w:eastAsia="Calibri" w:hAnsi="Calibri"/>
          <w:b w:val="false"/>
          <w:bCs w:val="false"/>
          <w:i w:val="false"/>
          <w:iCs w:val="false"/>
          <w:sz w:val="22"/>
          <w:szCs w:val="22"/>
        </w:rPr>
        <w:t xml:space="preserve">These are UKCEH's own authoritative fields, not something calculated for this project.</w:t>
      </w:r>
    </w:p>
    <w:p>
      <w:pPr>
        <w:pStyle w:val="Heading1"/>
        <w:spacing w:after="160" w:before="300"/>
      </w:pPr>
      <w:r>
        <w:t xml:space="preserve">6. Known Gaps and Limitations</w:t>
      </w:r>
    </w:p>
    <w:p>
      <w:pPr>
        <w:pStyle w:val="ListParagraph"/>
        <w:numPr>
          <w:ilvl w:val="0"/>
          <w:numId w:val="1"/>
        </w:numPr>
        <w:spacing w:after="100"/>
      </w:pPr>
      <w:r>
        <w:rPr>
          <w:rFonts w:ascii="Calibri" w:cs="Calibri" w:eastAsia="Calibri" w:hAnsi="Calibri"/>
          <w:sz w:val="22"/>
          <w:szCs w:val="22"/>
        </w:rPr>
        <w:t xml:space="preserve">G2G has no data for 14 of the 200 stations (both simobs and simrcm), confirmed as expected by UKCEH's own documentation. GR6J and GR4J have complete coverage, all 200 stations.</w:t>
      </w:r>
    </w:p>
    <w:p>
      <w:pPr>
        <w:pStyle w:val="ListParagraph"/>
        <w:numPr>
          <w:ilvl w:val="0"/>
          <w:numId w:val="1"/>
        </w:numPr>
        <w:spacing w:after="100"/>
      </w:pPr>
      <w:r>
        <w:rPr>
          <w:rFonts w:ascii="Calibri" w:cs="Calibri" w:eastAsia="Calibri" w:hAnsi="Calibri"/>
          <w:sz w:val="22"/>
          <w:szCs w:val="22"/>
        </w:rPr>
        <w:t xml:space="preserve">Observed flow (Qobs, simobs files only) has gaps before a station's gauge existed. Expected and documented, not an error. Modelled flow (the model's own column) has no gaps.</w:t>
      </w:r>
    </w:p>
    <w:p>
      <w:pPr>
        <w:pStyle w:val="ListParagraph"/>
        <w:numPr>
          <w:ilvl w:val="0"/>
          <w:numId w:val="1"/>
        </w:numPr>
        <w:spacing w:after="100"/>
      </w:pPr>
      <w:r>
        <w:rPr>
          <w:rFonts w:ascii="Calibri" w:cs="Calibri" w:eastAsia="Calibri" w:hAnsi="Calibri"/>
          <w:sz w:val="22"/>
          <w:szCs w:val="22"/>
        </w:rPr>
        <w:t xml:space="preserve">simrcm has no observed-flow column at all, by definition.</w:t>
      </w:r>
    </w:p>
    <w:p>
      <w:pPr>
        <w:pStyle w:val="ListParagraph"/>
        <w:numPr>
          <w:ilvl w:val="0"/>
          <w:numId w:val="1"/>
        </w:numPr>
        <w:spacing w:after="100"/>
      </w:pPr>
      <w:r>
        <w:rPr>
          <w:rFonts w:ascii="Calibri" w:cs="Calibri" w:eastAsia="Calibri" w:hAnsi="Calibri"/>
          <w:sz w:val="22"/>
          <w:szCs w:val="22"/>
        </w:rPr>
        <w:t xml:space="preserve">simrcm uses a 360-day calendar, not a real one (see Section 4).</w:t>
      </w:r>
    </w:p>
    <w:p>
      <w:pPr>
        <w:pStyle w:val="Heading1"/>
        <w:spacing w:after="160" w:before="300"/>
      </w:pPr>
      <w:r>
        <w:t xml:space="preserve">7. How To Use These Files</w:t>
      </w:r>
    </w:p>
    <w:p>
      <w:pPr>
        <w:spacing w:after="160"/>
      </w:pPr>
      <w:r>
        <w:rPr>
          <w:rFonts w:ascii="Calibri" w:cs="Calibri" w:eastAsia="Calibri" w:hAnsi="Calibri"/>
          <w:b w:val="false"/>
          <w:bCs w:val="false"/>
          <w:i w:val="false"/>
          <w:iCs w:val="false"/>
          <w:sz w:val="22"/>
          <w:szCs w:val="22"/>
        </w:rPr>
        <w:t xml:space="preserve">The six data files are standard CSV files. They open directly in Excel, though the three simrcm files (over 6 million rows each) exceed Excel's row limit and will be cut off if opened directly there, a data analysis tool (Python/pandas, or R) is needed for those in full.</w:t>
      </w:r>
    </w:p>
    <w:p>
      <w:pPr>
        <w:spacing w:after="160"/>
      </w:pPr>
      <w:r>
        <w:rPr>
          <w:rFonts w:ascii="Calibri" w:cs="Calibri" w:eastAsia="Calibri" w:hAnsi="Calibri"/>
          <w:b w:val="false"/>
          <w:bCs w:val="false"/>
          <w:i w:val="false"/>
          <w:iCs w:val="false"/>
          <w:sz w:val="22"/>
          <w:szCs w:val="22"/>
        </w:rPr>
        <w:t xml:space="preserve">Every file includes a station column. Look up a location's station number in Station_Locations.xlsx first (searchable by river or place name), then filter the data file for that number.</w:t>
      </w:r>
    </w:p>
    <w:p>
      <w:pPr>
        <w:spacing w:after="160"/>
      </w:pPr>
      <w:r>
        <w:rPr>
          <w:rFonts w:ascii="Calibri" w:cs="Calibri" w:eastAsia="Calibri" w:hAnsi="Calibri"/>
          <w:b w:val="false"/>
          <w:bCs w:val="false"/>
          <w:i w:val="false"/>
          <w:iCs w:val="false"/>
          <w:sz w:val="22"/>
          <w:szCs w:val="22"/>
        </w:rPr>
        <w:t xml:space="preserve">The six data files are hosted on Zenodo (see this repository's README for the link and DOI), too large for GitHub, but download the same way as any normal file, no special tools needed.</w:t>
      </w:r>
    </w:p>
    <w:p>
      <w:pPr>
        <w:pStyle w:val="Heading1"/>
        <w:spacing w:after="160" w:before="300"/>
      </w:pPr>
      <w:r>
        <w:t xml:space="preserve">8. Source and Citation</w:t>
      </w:r>
    </w:p>
    <w:p>
      <w:pPr>
        <w:spacing w:after="160"/>
      </w:pPr>
      <w:r>
        <w:rPr>
          <w:rFonts w:ascii="Calibri" w:cs="Calibri" w:eastAsia="Calibri" w:hAnsi="Calibri"/>
          <w:b w:val="false"/>
          <w:bCs w:val="false"/>
          <w:i w:val="false"/>
          <w:iCs w:val="false"/>
          <w:sz w:val="22"/>
          <w:szCs w:val="22"/>
        </w:rPr>
        <w:t xml:space="preserve">Hannaford, J., Mackay, J., Ascot, M., Bell, V. A., Chitson, T., Cole, S., Counsell, C., Durant, M., Jackson, C., Kay, A. L., Lane, R. A., Mansour, M., Moore, R., Parry, S., Rudd, A. C., Simpson, M., Facer-Childs, K., Turner, S., Wallbank, J., Wells, S., Wilcox, A. eFLaG: enhanced Future Flows and Groundwater. A national dataset of hydrological projections based on UKCP18. Earth System Science Data.</w:t>
      </w:r>
    </w:p>
    <w:p>
      <w:pPr>
        <w:spacing w:after="160"/>
      </w:pPr>
      <w:r>
        <w:rPr>
          <w:rFonts w:ascii="Calibri" w:cs="Calibri" w:eastAsia="Calibri" w:hAnsi="Calibri"/>
          <w:b w:val="false"/>
          <w:bCs w:val="false"/>
          <w:i/>
          <w:iCs/>
          <w:sz w:val="22"/>
          <w:szCs w:val="22"/>
        </w:rPr>
        <w:t xml:space="preserve">A note on this citation: UKCEH's own supporting documentation (included in this package) lists this paper as "in prep" at the time it was written. It may since have been formally published, worth checking before citing. The dataset DOI below is stable regardless.</w:t>
      </w:r>
    </w:p>
    <w:p>
      <w:pPr>
        <w:spacing w:after="160"/>
      </w:pPr>
      <w:r>
        <w:rPr>
          <w:rFonts w:ascii="Calibri" w:cs="Calibri" w:eastAsia="Calibri" w:hAnsi="Calibri"/>
          <w:b/>
          <w:bCs/>
          <w:i w:val="false"/>
          <w:iCs w:val="false"/>
          <w:sz w:val="22"/>
          <w:szCs w:val="22"/>
        </w:rPr>
        <w:t xml:space="preserve">Original dataset DOI: https://doi.org/10.5285/1bb90673-ad37-4679-90b9-0126109639a9</w:t>
      </w:r>
    </w:p>
    <w:p>
      <w:pPr>
        <w:spacing w:after="160"/>
      </w:pPr>
      <w:r>
        <w:rPr>
          <w:rFonts w:ascii="Calibri" w:cs="Calibri" w:eastAsia="Calibri" w:hAnsi="Calibri"/>
          <w:b/>
          <w:bCs/>
          <w:i w:val="false"/>
          <w:iCs w:val="false"/>
          <w:sz w:val="22"/>
          <w:szCs w:val="22"/>
        </w:rPr>
        <w:t xml:space="preserve">Cleaned/combined files in this package: Emmanuel, F. (2026). GR6J, GR4J and G2G River Flow Data, eFLaG-derived. Zenodo. https://doi.org/10.5281/zenodo.21475448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2026-07-23T14:37:57.109Z</dcterms:created>
  <dcterms:modified xsi:type="dcterms:W3CDTF">2026-07-23T14:37:57.134Z</dcterms:modified>
</cp:coreProperties>
</file>

<file path=docProps/custom.xml><?xml version="1.0" encoding="utf-8"?>
<Properties xmlns="http://schemas.openxmlformats.org/officeDocument/2006/custom-properties" xmlns:vt="http://schemas.openxmlformats.org/officeDocument/2006/docPropsVTypes"/>
</file>