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bkpzhkts09e" w:id="0"/>
      <w:bookmarkEnd w:id="0"/>
      <w:r w:rsidDel="00000000" w:rsidR="00000000" w:rsidRPr="00000000">
        <w:rPr>
          <w:rtl w:val="0"/>
        </w:rPr>
        <w:t xml:space="preserve">Grammars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9euvkataqtjo" w:id="1"/>
      <w:bookmarkEnd w:id="1"/>
      <w:r w:rsidDel="00000000" w:rsidR="00000000" w:rsidRPr="00000000">
        <w:rPr>
          <w:rtl w:val="0"/>
        </w:rPr>
        <w:t xml:space="preserve">E+T Grammar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&lt;E&gt;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&lt;E&gt; + &lt;T&gt;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&lt;E&gt;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&lt;T&gt;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&lt;T&gt;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&lt;T&gt; * &lt;F&gt;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&lt;T&gt;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&lt;F&gt;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&lt;F&gt;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&lt;P&gt; ↑ &lt;F&gt;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&lt;F&gt;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&lt;P&gt;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&lt;P&gt;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 &lt;E&gt; 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&lt;P&gt;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tbiv0isudwa" w:id="2"/>
      <w:bookmarkEnd w:id="2"/>
      <w:r w:rsidDel="00000000" w:rsidR="00000000" w:rsidRPr="00000000">
        <w:rPr>
          <w:rtl w:val="0"/>
        </w:rPr>
        <w:t xml:space="preserve">E-List Grammar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&lt;E&gt;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&lt;T&gt;&lt;E-LIST&gt;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&lt;E-LIST&gt;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 &lt;T&gt;&lt;E-LIST&gt;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&lt;E-LIST&gt;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ϵ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&lt;T&gt;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&lt;P&gt;&lt;T-LIST&gt;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&lt;T-LIST&gt;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* &lt;P&gt;&lt;T-LIST&gt;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&lt;T-LIST&gt;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ϵ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&lt;P&gt;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 &lt;E&gt; 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&lt;P&gt;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ocmb97u7y4z" w:id="3"/>
      <w:bookmarkEnd w:id="3"/>
      <w:r w:rsidDel="00000000" w:rsidR="00000000" w:rsidRPr="00000000">
        <w:rPr>
          <w:rtl w:val="0"/>
        </w:rPr>
        <w:t xml:space="preserve">Error Detection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in6kn1g8bqf3" w:id="4"/>
      <w:bookmarkEnd w:id="4"/>
      <w:r w:rsidDel="00000000" w:rsidR="00000000" w:rsidRPr="00000000">
        <w:rPr>
          <w:rtl w:val="0"/>
        </w:rPr>
        <w:t xml:space="preserve">Prefix 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Top-down recognisers</w:t>
      </w:r>
      <w:r w:rsidDel="00000000" w:rsidR="00000000" w:rsidRPr="00000000">
        <w:rPr>
          <w:rtl w:val="0"/>
        </w:rPr>
        <w:t xml:space="preserve"> have the </w:t>
      </w:r>
      <w:r w:rsidDel="00000000" w:rsidR="00000000" w:rsidRPr="00000000">
        <w:rPr>
          <w:rtl w:val="0"/>
        </w:rPr>
        <w:t xml:space="preserve">prefix property.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They will detect an error at the </w:t>
      </w:r>
      <w:r w:rsidDel="00000000" w:rsidR="00000000" w:rsidRPr="00000000">
        <w:rPr>
          <w:b w:val="1"/>
          <w:rtl w:val="0"/>
        </w:rPr>
        <w:t xml:space="preserve">earliest possible position</w:t>
      </w:r>
      <w:r w:rsidDel="00000000" w:rsidR="00000000" w:rsidRPr="00000000">
        <w:rPr>
          <w:rtl w:val="0"/>
        </w:rPr>
        <w:t xml:space="preserve"> in the input.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recogniser has the prefix property if the offending symbol is the </w:t>
      </w:r>
      <w:r w:rsidDel="00000000" w:rsidR="00000000" w:rsidRPr="00000000">
        <w:rPr>
          <w:b w:val="1"/>
          <w:rtl w:val="0"/>
        </w:rPr>
        <w:t xml:space="preserve">first input </w:t>
      </w:r>
      <w:r w:rsidDel="00000000" w:rsidR="00000000" w:rsidRPr="00000000">
        <w:rPr>
          <w:rtl w:val="0"/>
        </w:rPr>
        <w:t xml:space="preserve">inconsistent with the hypothesis that the input sequence is going to be acceptable.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prefix property allows </w:t>
      </w:r>
      <w:r w:rsidDel="00000000" w:rsidR="00000000" w:rsidRPr="00000000">
        <w:rPr>
          <w:b w:val="1"/>
          <w:rtl w:val="0"/>
        </w:rPr>
        <w:t xml:space="preserve">good error messages </w:t>
      </w:r>
      <w:r w:rsidDel="00000000" w:rsidR="00000000" w:rsidRPr="00000000">
        <w:rPr>
          <w:rtl w:val="0"/>
        </w:rPr>
        <w:t xml:space="preserve">to be obtained by assuming the error occurred </w:t>
      </w:r>
      <w:r w:rsidDel="00000000" w:rsidR="00000000" w:rsidRPr="00000000">
        <w:rPr>
          <w:b w:val="1"/>
          <w:rtl w:val="0"/>
        </w:rPr>
        <w:t xml:space="preserve">at or near </w:t>
      </w:r>
      <w:r w:rsidDel="00000000" w:rsidR="00000000" w:rsidRPr="00000000">
        <w:rPr>
          <w:rtl w:val="0"/>
        </w:rPr>
        <w:t xml:space="preserve">the offending symbol. The compiler can analyse the input string and stack contents at the time of rejection.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iwr2swv14bsn" w:id="5"/>
      <w:bookmarkEnd w:id="5"/>
      <w:r w:rsidDel="00000000" w:rsidR="00000000" w:rsidRPr="00000000">
        <w:rPr>
          <w:rtl w:val="0"/>
        </w:rPr>
        <w:t xml:space="preserve">Error Recovery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p292srv9uobs" w:id="6"/>
      <w:bookmarkEnd w:id="6"/>
      <w:r w:rsidDel="00000000" w:rsidR="00000000" w:rsidRPr="00000000">
        <w:rPr>
          <w:rtl w:val="0"/>
        </w:rPr>
        <w:t xml:space="preserve">Local Recovery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Fill in each </w:t>
      </w:r>
      <w:r w:rsidDel="00000000" w:rsidR="00000000" w:rsidRPr="00000000">
        <w:rPr>
          <w:b w:val="1"/>
          <w:rtl w:val="0"/>
        </w:rPr>
        <w:t xml:space="preserve">reject entry </w:t>
      </w:r>
      <w:r w:rsidDel="00000000" w:rsidR="00000000" w:rsidRPr="00000000">
        <w:rPr>
          <w:rtl w:val="0"/>
        </w:rPr>
        <w:t xml:space="preserve">in the control table with </w:t>
      </w:r>
      <w:r w:rsidDel="00000000" w:rsidR="00000000" w:rsidRPr="00000000">
        <w:rPr>
          <w:b w:val="1"/>
          <w:rtl w:val="0"/>
        </w:rPr>
        <w:t xml:space="preserve">ordinary </w:t>
      </w:r>
      <w:r w:rsidDel="00000000" w:rsidR="00000000" w:rsidRPr="00000000">
        <w:rPr>
          <w:rtl w:val="0"/>
        </w:rPr>
        <w:t xml:space="preserve">stack and input operations.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vos54m16scu9" w:id="7"/>
      <w:bookmarkEnd w:id="7"/>
      <w:r w:rsidDel="00000000" w:rsidR="00000000" w:rsidRPr="00000000">
        <w:rPr>
          <w:rtl w:val="0"/>
        </w:rPr>
        <w:t xml:space="preserve">Global Recovery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Following an error, </w:t>
      </w:r>
      <w:r w:rsidDel="00000000" w:rsidR="00000000" w:rsidRPr="00000000">
        <w:rPr>
          <w:b w:val="1"/>
          <w:rtl w:val="0"/>
        </w:rPr>
        <w:t xml:space="preserve">scan ahead </w:t>
      </w:r>
      <w:r w:rsidDel="00000000" w:rsidR="00000000" w:rsidRPr="00000000">
        <w:rPr>
          <w:rtl w:val="0"/>
        </w:rPr>
        <w:t xml:space="preserve">in the input until some </w:t>
      </w:r>
      <w:r w:rsidDel="00000000" w:rsidR="00000000" w:rsidRPr="00000000">
        <w:rPr>
          <w:b w:val="1"/>
          <w:rtl w:val="0"/>
        </w:rPr>
        <w:t xml:space="preserve">synchronising symbol </w:t>
      </w:r>
      <w:r w:rsidDel="00000000" w:rsidR="00000000" w:rsidRPr="00000000">
        <w:rPr>
          <w:rtl w:val="0"/>
        </w:rPr>
        <w:t xml:space="preserve">is found.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Then, </w:t>
      </w:r>
      <w:r w:rsidDel="00000000" w:rsidR="00000000" w:rsidRPr="00000000">
        <w:rPr>
          <w:b w:val="1"/>
          <w:rtl w:val="0"/>
        </w:rPr>
        <w:t xml:space="preserve">pop the stack </w:t>
      </w:r>
      <w:r w:rsidDel="00000000" w:rsidR="00000000" w:rsidRPr="00000000">
        <w:rPr>
          <w:rtl w:val="0"/>
        </w:rPr>
        <w:t xml:space="preserve">until a stack symbol is found to which the synchronising input symbol can be </w:t>
      </w:r>
      <w:r w:rsidDel="00000000" w:rsidR="00000000" w:rsidRPr="00000000">
        <w:rPr>
          <w:b w:val="1"/>
          <w:rtl w:val="0"/>
        </w:rPr>
        <w:t xml:space="preserve">correctly applied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keiglwcy9nh4" w:id="8"/>
      <w:bookmarkEnd w:id="8"/>
      <w:r w:rsidDel="00000000" w:rsidR="00000000" w:rsidRPr="00000000">
        <w:rPr>
          <w:rtl w:val="0"/>
        </w:rPr>
        <w:t xml:space="preserve">L-Attributed Grammars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52wz2utmtyw9" w:id="9"/>
      <w:bookmarkEnd w:id="9"/>
      <w:r w:rsidDel="00000000" w:rsidR="00000000" w:rsidRPr="00000000">
        <w:rPr>
          <w:rtl w:val="0"/>
        </w:rPr>
        <w:t xml:space="preserve">Copy Rules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attribute evaluation rule </w:t>
      </w:r>
      <w:r w:rsidDel="00000000" w:rsidR="00000000" w:rsidRPr="00000000">
        <w:rPr>
          <w:rtl w:val="0"/>
        </w:rPr>
        <w:t xml:space="preserve">is a copy rule if and only if it is of the form: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m:oMath>
        <m:r>
          <w:rPr/>
          <m:t xml:space="preserve">x</m:t>
        </m:r>
        <m:r>
          <w:rPr/>
          <m:t>←</m:t>
        </m:r>
        <m:r>
          <w:rPr/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...)</m:t>
        </m:r>
        <m:r>
          <w:rPr/>
          <m:t>←</m:t>
        </m:r>
        <m:r>
          <w:rPr/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RHS is called the </w:t>
      </w:r>
      <w:r w:rsidDel="00000000" w:rsidR="00000000" w:rsidRPr="00000000">
        <w:rPr>
          <w:b w:val="1"/>
          <w:rtl w:val="0"/>
        </w:rPr>
        <w:t xml:space="preserve">source </w:t>
      </w:r>
      <w:r w:rsidDel="00000000" w:rsidR="00000000" w:rsidRPr="00000000">
        <w:rPr>
          <w:rtl w:val="0"/>
        </w:rPr>
        <w:t xml:space="preserve">of the copy rule.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Each attribute on the LHS is called the </w:t>
      </w:r>
      <w:r w:rsidDel="00000000" w:rsidR="00000000" w:rsidRPr="00000000">
        <w:rPr>
          <w:b w:val="1"/>
          <w:rtl w:val="0"/>
        </w:rPr>
        <w:t xml:space="preserve">sink </w:t>
      </w:r>
      <w:r w:rsidDel="00000000" w:rsidR="00000000" w:rsidRPr="00000000">
        <w:rPr>
          <w:rtl w:val="0"/>
        </w:rPr>
        <w:t xml:space="preserve">of the copy rule.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set of copy rules is </w:t>
      </w:r>
      <w:r w:rsidDel="00000000" w:rsidR="00000000" w:rsidRPr="00000000">
        <w:rPr>
          <w:b w:val="1"/>
          <w:rtl w:val="0"/>
        </w:rPr>
        <w:t xml:space="preserve">independent </w:t>
      </w:r>
      <w:r w:rsidDel="00000000" w:rsidR="00000000" w:rsidRPr="00000000">
        <w:rPr>
          <w:rtl w:val="0"/>
        </w:rPr>
        <w:t xml:space="preserve">if and only if the </w:t>
      </w:r>
      <w:r w:rsidDel="00000000" w:rsidR="00000000" w:rsidRPr="00000000">
        <w:rPr>
          <w:b w:val="1"/>
          <w:rtl w:val="0"/>
        </w:rPr>
        <w:t xml:space="preserve">source </w:t>
      </w:r>
      <w:r w:rsidDel="00000000" w:rsidR="00000000" w:rsidRPr="00000000">
        <w:rPr>
          <w:rtl w:val="0"/>
        </w:rPr>
        <w:t xml:space="preserve">of each rule in the set does not appear elsewhere in any other rules in the set.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62oddngpu2r2" w:id="10"/>
      <w:bookmarkEnd w:id="10"/>
      <w:r w:rsidDel="00000000" w:rsidR="00000000" w:rsidRPr="00000000">
        <w:rPr>
          <w:rtl w:val="0"/>
        </w:rPr>
        <w:t xml:space="preserve">Single Assignment Form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ATG</w:t>
      </w:r>
      <w:r w:rsidDel="00000000" w:rsidR="00000000" w:rsidRPr="00000000">
        <w:rPr>
          <w:rtl w:val="0"/>
        </w:rPr>
        <w:t xml:space="preserve"> is in single assignment form if and only if: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rules that are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copy rules are rules for computing the </w:t>
      </w:r>
      <w:r w:rsidDel="00000000" w:rsidR="00000000" w:rsidRPr="00000000">
        <w:rPr>
          <w:b w:val="1"/>
          <w:rtl w:val="0"/>
        </w:rPr>
        <w:t xml:space="preserve">synthesized attributes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action symbols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of copy rules associated with each production in the grammar is </w:t>
      </w:r>
      <w:r w:rsidDel="00000000" w:rsidR="00000000" w:rsidRPr="00000000">
        <w:rPr>
          <w:b w:val="1"/>
          <w:rtl w:val="0"/>
        </w:rPr>
        <w:t xml:space="preserve">independent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 is sometimes possible to consolidate </w:t>
      </w:r>
      <w:r w:rsidDel="00000000" w:rsidR="00000000" w:rsidRPr="00000000">
        <w:rPr>
          <w:b w:val="1"/>
          <w:rtl w:val="0"/>
        </w:rPr>
        <w:t xml:space="preserve">several copy rules </w:t>
      </w:r>
      <w:r w:rsidDel="00000000" w:rsidR="00000000" w:rsidRPr="00000000">
        <w:rPr>
          <w:rtl w:val="0"/>
        </w:rPr>
        <w:t xml:space="preserve">into a </w:t>
      </w:r>
      <w:r w:rsidDel="00000000" w:rsidR="00000000" w:rsidRPr="00000000">
        <w:rPr>
          <w:b w:val="1"/>
          <w:rtl w:val="0"/>
        </w:rPr>
        <w:t xml:space="preserve">single rule</w:t>
      </w:r>
      <w:r w:rsidDel="00000000" w:rsidR="00000000" w:rsidRPr="00000000">
        <w:rPr>
          <w:rtl w:val="0"/>
        </w:rPr>
        <w:t xml:space="preserve">.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