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SIDEBYSIDE</w:t>
      </w:r>
    </w:p>
    <w:p>
      <w:pPr>
        <w:spacing w:after="40"/>
      </w:pPr>
      <w:r>
        <w:rPr>
          <w:b/>
          <w:bCs/>
          <w:color w:val="4472C4"/>
          <w:sz w:val="28"/>
          <w:szCs w:val="28"/>
        </w:rPr>
        <w:t xml:space="preserve">Positionnement stratégique &amp; Roadmap produit</w:t>
      </w:r>
    </w:p>
    <w:p>
      <w:pPr>
        <w:spacing w:after="320"/>
      </w:pPr>
      <w:r>
        <w:rPr>
          <w:i/>
          <w:iCs/>
          <w:color w:val="595959"/>
          <w:sz w:val="18"/>
          <w:szCs w:val="18"/>
        </w:rPr>
        <w:t xml:space="preserve">12 août 2026</w:t>
      </w:r>
    </w:p>
    <w:p>
      <w:pPr>
        <w:pStyle w:val="Heading1"/>
        <w:spacing w:after="160" w:before="320"/>
      </w:pPr>
      <w:r>
        <w:t xml:space="preserve">1. Pourquoi ne pas se positionner comme VTC urbain</w:t>
      </w:r>
    </w:p>
    <w:p>
      <w:pPr>
        <w:spacing w:after="160"/>
      </w:pPr>
      <w:r>
        <w:t xml:space="preserve">Le marché du transport urbain à la demande au Cameroun (Douala, Yaoundé) est déjà occupé par des acteurs multinationaux bien financés : Yango, Gozem et Bee, auxquels s'ajoute un opérateur local, ONGO, qui tente lui aussi de concurrencer Yango. Ce n'est pas un marché vierge.</w:t>
      </w:r>
    </w:p>
    <w:p>
      <w:pPr>
        <w:spacing w:after="160"/>
      </w:pPr>
      <w:r>
        <w:t xml:space="preserve">Signal important : Yango, le leader du secteur, traverse actuellement des difficultés. En mai 2026, le ministère des Transports lui a donné un ultimatum réglementaire (accusé de favoriser le transport clandestin), et une partie de ses chauffeurs quittent la plateforme faute d'activité suffisante. Même l'acteur dominant peine à stabiliser son modèle économique dans ce segment.</w:t>
      </w:r>
    </w:p>
    <w:p>
      <w:pPr>
        <w:spacing w:after="160"/>
      </w:pPr>
      <w:r>
        <w:t xml:space="preserve">Structurellement, le VTC urbain à la demande exige une forte densité de chauffeurs en temps réel dans chaque zone pour que le matching fonctionne, ce qui pousse à des dépenses d'acquisition et de subvention lourdes et à une concurrence par les prix — le schéma classique qui a fait perdre de l'argent à Uber pendant plus d'une décennie avant sa rentabilité globale.</w:t>
      </w:r>
    </w:p>
    <w:p>
      <w:pPr>
        <w:spacing w:after="160"/>
      </w:pPr>
      <w:r>
        <w:rPr>
          <w:b/>
          <w:bCs/>
        </w:rPr>
        <w:t xml:space="preserve">Conclusion : SideBySide n'a ni la trésorerie ni la capacité de subvention pour gagner une guerre des prix contre Yango, Gozem ou Bee sur leur propre terrain. La bonne stratégie n'est pas de les affronter frontalement, mais de rester sur un segment qu'ils ne servent pas.</w:t>
      </w:r>
    </w:p>
    <w:p>
      <w:pPr>
        <w:pStyle w:val="Heading1"/>
        <w:spacing w:after="160" w:before="320"/>
      </w:pPr>
      <w:r>
        <w:t xml:space="preserve">2. Le positionnement différenciant de SideBySide</w:t>
      </w:r>
    </w:p>
    <w:p>
      <w:pPr>
        <w:pStyle w:val="Heading2"/>
        <w:spacing w:after="120" w:before="240"/>
      </w:pPr>
      <w:r>
        <w:t xml:space="preserve">Ce que SideBySide est</w:t>
      </w:r>
    </w:p>
    <w:p>
      <w:pPr>
        <w:spacing w:after="160"/>
      </w:pPr>
      <w:r>
        <w:t xml:space="preserve">La plateforme de covoiturage intercity qui connecte la diaspora camerounaise à ses proches au pays, via des trajets planifiés sur des axes structurants (aujourd'hui Douala ↔ Bafoussam).</w:t>
      </w:r>
    </w:p>
    <w:p>
      <w:pPr>
        <w:pStyle w:val="Heading2"/>
        <w:spacing w:after="120" w:before="240"/>
      </w:pPr>
      <w:r>
        <w:t xml:space="preserve">Les deux piliers du modèle</w:t>
      </w:r>
    </w:p>
    <w:p>
      <w:pPr>
        <w:pStyle w:val="ListParagraph"/>
        <w:numPr>
          <w:ilvl w:val="0"/>
          <w:numId w:val="2"/>
        </w:numPr>
        <w:spacing w:after="80"/>
      </w:pPr>
      <w:r>
        <w:t xml:space="preserve">Covoiturage intercity classique : des chauffeurs qui partent de toute façon vendent leurs sièges libres — pas de dispatch temps réel, pas de guerre des prix, structure de coûts légère.</w:t>
      </w:r>
    </w:p>
    <w:p>
      <w:pPr>
        <w:pStyle w:val="ListParagraph"/>
        <w:numPr>
          <w:ilvl w:val="0"/>
          <w:numId w:val="2"/>
        </w:numPr>
        <w:spacing w:after="80"/>
      </w:pPr>
      <w:r>
        <w:t xml:space="preserve">« Cadeau diaspora » : un membre de la diaspora paie à distance un trajet pour un proche au pays (mode gift/family). C'est un usage concret et traçable d'un flux d'argent qui existe déjà (transfert familial), avec un panier moyen 1,8x supérieur au trajet domestique.</w:t>
      </w:r>
    </w:p>
    <w:p>
      <w:pPr>
        <w:pStyle w:val="Heading2"/>
        <w:spacing w:after="120" w:before="240"/>
      </w:pPr>
      <w:r>
        <w:t xml:space="preserve">Le moat actuel</w:t>
      </w:r>
    </w:p>
    <w:p>
      <w:pPr>
        <w:pStyle w:val="ListParagraph"/>
        <w:numPr>
          <w:ilvl w:val="0"/>
          <w:numId w:val="2"/>
        </w:numPr>
        <w:spacing w:after="80"/>
      </w:pPr>
      <w:r>
        <w:t xml:space="preserve">Commission dégressive (15 % → 12 % → 10 % selon le volume mensuel du chauffeur) qui récompense la fidélité plutôt que de la subventionner — cohérent avec la trésorerie limitée d'un stade précoce.</w:t>
      </w:r>
    </w:p>
    <w:p>
      <w:pPr>
        <w:pStyle w:val="ListParagraph"/>
        <w:numPr>
          <w:ilvl w:val="0"/>
          <w:numId w:val="2"/>
        </w:numPr>
        <w:spacing w:after="80"/>
      </w:pPr>
      <w:r>
        <w:t xml:space="preserve">Remise de 200 FCFA au paiement mobile money, qui pousse le digital sans complexité d'intégration lourde.</w:t>
      </w:r>
    </w:p>
    <w:p>
      <w:pPr>
        <w:pStyle w:val="ListParagraph"/>
        <w:numPr>
          <w:ilvl w:val="0"/>
          <w:numId w:val="2"/>
        </w:numPr>
        <w:spacing w:after="80"/>
      </w:pPr>
      <w:r>
        <w:t xml:space="preserve">Rentabilité opérationnelle dès l'Année 1 dans le scénario de base (EBITDA ≈ +3,85 M FCFA sur environ 48 chauffeurs actifs en fin d'année) — un modèle asset-light qui n'a pas besoin d'un tour de table massif pour exister.</w:t>
      </w:r>
    </w:p>
    <w:p>
      <w:pPr>
        <w:spacing w:after="160"/>
      </w:pPr>
      <w:r>
        <w:t xml:space="preserve">Le test de sensibilité du modèle financier (onglet « Scénarios » du fichier Excel) montre que même avec un churn chauffeurs plus élevé (-30 %), une adoption diaspora deux fois plus lente et un remplissage dégradé, l'EBITDA Année 1 reste proche de l'équilibre (environ -0,4 M FCFA) plutôt que de s'effondrer — un signe de robustesse du modèle, pas de fragilité.</w:t>
      </w:r>
    </w:p>
    <w:p>
      <w:pPr>
        <w:pStyle w:val="Heading1"/>
        <w:spacing w:after="160" w:before="320"/>
      </w:pPr>
      <w:r>
        <w:t xml:space="preserve">3. Roadmap produit — approfondir la niche plutôt que l'élargir</w:t>
      </w:r>
    </w:p>
    <w:p>
      <w:pPr>
        <w:spacing w:after="160"/>
      </w:pPr>
      <w:r>
        <w:t xml:space="preserve">Les fonctionnalités ci-dessous visent toutes à renforcer les deux piliers existants (intercity + diaspora) plutôt qu'à ouvrir un nouveau front concurrentiel.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200"/>
        <w:gridCol w:w="1200"/>
      </w:tblGrid>
      <w:tr>
        <w:tc>
          <w:tcPr>
            <w:tcW w:type="dxa" w:w="4600"/>
            <w:shd w:fill="1F3864" w:val="clear"/>
            <w:tcMar>
              <w:top w:type="dxa" w:w="80"/>
              <w:left w:type="dxa" w:w="100"/>
              <w:bottom w:type="dxa" w:w="80"/>
              <w:right w:type="dxa" w:w="100"/>
            </w:tcMar>
          </w:tcPr>
          <w:p>
            <w:r>
              <w:rPr>
                <w:b/>
                <w:bCs/>
                <w:color w:val="FFFFFF"/>
                <w:sz w:val="20"/>
                <w:szCs w:val="20"/>
              </w:rPr>
              <w:t xml:space="preserve">Fonctionnalité</w:t>
            </w:r>
          </w:p>
        </w:tc>
        <w:tc>
          <w:tcPr>
            <w:tcW w:type="dxa" w:w="2600"/>
            <w:shd w:fill="1F3864" w:val="clear"/>
            <w:tcMar>
              <w:top w:type="dxa" w:w="80"/>
              <w:left w:type="dxa" w:w="100"/>
              <w:bottom w:type="dxa" w:w="80"/>
              <w:right w:type="dxa" w:w="100"/>
            </w:tcMar>
          </w:tcPr>
          <w:p>
            <w:r>
              <w:rPr>
                <w:b/>
                <w:bCs/>
                <w:color w:val="FFFFFF"/>
                <w:sz w:val="20"/>
                <w:szCs w:val="20"/>
              </w:rPr>
              <w:t xml:space="preserve">Objectif</w:t>
            </w:r>
          </w:p>
        </w:tc>
        <w:tc>
          <w:tcPr>
            <w:tcW w:type="dxa" w:w="1200"/>
            <w:shd w:fill="1F3864" w:val="clear"/>
            <w:tcMar>
              <w:top w:type="dxa" w:w="80"/>
              <w:left w:type="dxa" w:w="100"/>
              <w:bottom w:type="dxa" w:w="80"/>
              <w:right w:type="dxa" w:w="100"/>
            </w:tcMar>
          </w:tcPr>
          <w:p>
            <w:r>
              <w:rPr>
                <w:b/>
                <w:bCs/>
                <w:color w:val="FFFFFF"/>
                <w:sz w:val="20"/>
                <w:szCs w:val="20"/>
              </w:rPr>
              <w:t xml:space="preserve">Impact</w:t>
            </w:r>
          </w:p>
        </w:tc>
        <w:tc>
          <w:tcPr>
            <w:tcW w:type="dxa" w:w="1200"/>
            <w:shd w:fill="1F3864" w:val="clear"/>
            <w:tcMar>
              <w:top w:type="dxa" w:w="80"/>
              <w:left w:type="dxa" w:w="100"/>
              <w:bottom w:type="dxa" w:w="80"/>
              <w:right w:type="dxa" w:w="100"/>
            </w:tcMar>
          </w:tcPr>
          <w:p>
            <w:r>
              <w:rPr>
                <w:b/>
                <w:bCs/>
                <w:color w:val="FFFFFF"/>
                <w:sz w:val="20"/>
                <w:szCs w:val="20"/>
              </w:rPr>
              <w:t xml:space="preserve">Effort</w:t>
            </w:r>
          </w:p>
        </w:tc>
      </w:tr>
      <w:tr>
        <w:tc>
          <w:tcPr>
            <w:tcW w:type="dxa" w:w="4600"/>
            <w:tcMar>
              <w:top w:type="dxa" w:w="80"/>
              <w:left w:type="dxa" w:w="100"/>
              <w:bottom w:type="dxa" w:w="80"/>
              <w:right w:type="dxa" w:w="100"/>
            </w:tcMar>
          </w:tcPr>
          <w:p>
            <w:r>
              <w:rPr>
                <w:b w:val="false"/>
                <w:bCs w:val="false"/>
                <w:sz w:val="20"/>
                <w:szCs w:val="20"/>
              </w:rPr>
              <w:t xml:space="preserve">Programme de parrainage diaspora (code promo expéditeur → nouveau filleul)</w:t>
            </w:r>
          </w:p>
        </w:tc>
        <w:tc>
          <w:tcPr>
            <w:tcW w:type="dxa" w:w="2600"/>
            <w:tcMar>
              <w:top w:type="dxa" w:w="80"/>
              <w:left w:type="dxa" w:w="100"/>
              <w:bottom w:type="dxa" w:w="80"/>
              <w:right w:type="dxa" w:w="100"/>
            </w:tcMar>
          </w:tcPr>
          <w:p>
            <w:r>
              <w:rPr>
                <w:b w:val="false"/>
                <w:bCs w:val="false"/>
                <w:sz w:val="20"/>
                <w:szCs w:val="20"/>
              </w:rPr>
              <w:t xml:space="preserve">Accélérer l'acquisition diaspora à coût marginal faible</w:t>
            </w:r>
          </w:p>
        </w:tc>
        <w:tc>
          <w:tcPr>
            <w:tcW w:type="dxa" w:w="1200"/>
            <w:tcMar>
              <w:top w:type="dxa" w:w="80"/>
              <w:left w:type="dxa" w:w="100"/>
              <w:bottom w:type="dxa" w:w="80"/>
              <w:right w:type="dxa" w:w="100"/>
            </w:tcMar>
          </w:tcPr>
          <w:p>
            <w:r>
              <w:rPr>
                <w:b w:val="false"/>
                <w:bCs w:val="false"/>
                <w:sz w:val="20"/>
                <w:szCs w:val="20"/>
              </w:rPr>
              <w:t xml:space="preserve">Élevé</w:t>
            </w:r>
          </w:p>
        </w:tc>
        <w:tc>
          <w:tcPr>
            <w:tcW w:type="dxa" w:w="1200"/>
            <w:tcMar>
              <w:top w:type="dxa" w:w="80"/>
              <w:left w:type="dxa" w:w="100"/>
              <w:bottom w:type="dxa" w:w="80"/>
              <w:right w:type="dxa" w:w="100"/>
            </w:tcMar>
          </w:tcPr>
          <w:p>
            <w:r>
              <w:rPr>
                <w:b w:val="false"/>
                <w:bCs w:val="false"/>
                <w:sz w:val="20"/>
                <w:szCs w:val="20"/>
              </w:rPr>
              <w:t xml:space="preserve">Faible</w:t>
            </w:r>
          </w:p>
        </w:tc>
      </w:tr>
      <w:tr>
        <w:tc>
          <w:tcPr>
            <w:tcW w:type="dxa" w:w="4600"/>
            <w:shd w:fill="D9E1F2" w:val="clear"/>
            <w:tcMar>
              <w:top w:type="dxa" w:w="80"/>
              <w:left w:type="dxa" w:w="100"/>
              <w:bottom w:type="dxa" w:w="80"/>
              <w:right w:type="dxa" w:w="100"/>
            </w:tcMar>
          </w:tcPr>
          <w:p>
            <w:r>
              <w:rPr>
                <w:b w:val="false"/>
                <w:bCs w:val="false"/>
                <w:sz w:val="20"/>
                <w:szCs w:val="20"/>
              </w:rPr>
              <w:t xml:space="preserve">Preuve de trajet effectué (notification/photo envoyée à l'expéditeur diaspora)</w:t>
            </w:r>
          </w:p>
        </w:tc>
        <w:tc>
          <w:tcPr>
            <w:tcW w:type="dxa" w:w="2600"/>
            <w:shd w:fill="D9E1F2" w:val="clear"/>
            <w:tcMar>
              <w:top w:type="dxa" w:w="80"/>
              <w:left w:type="dxa" w:w="100"/>
              <w:bottom w:type="dxa" w:w="80"/>
              <w:right w:type="dxa" w:w="100"/>
            </w:tcMar>
          </w:tcPr>
          <w:p>
            <w:r>
              <w:rPr>
                <w:b w:val="false"/>
                <w:bCs w:val="false"/>
                <w:sz w:val="20"/>
                <w:szCs w:val="20"/>
              </w:rPr>
              <w:t xml:space="preserve">Renforcer la confiance sur le canal cadeau (paiement à distance)</w:t>
            </w:r>
          </w:p>
        </w:tc>
        <w:tc>
          <w:tcPr>
            <w:tcW w:type="dxa" w:w="1200"/>
            <w:shd w:fill="D9E1F2" w:val="clear"/>
            <w:tcMar>
              <w:top w:type="dxa" w:w="80"/>
              <w:left w:type="dxa" w:w="100"/>
              <w:bottom w:type="dxa" w:w="80"/>
              <w:right w:type="dxa" w:w="100"/>
            </w:tcMar>
          </w:tcPr>
          <w:p>
            <w:r>
              <w:rPr>
                <w:b w:val="false"/>
                <w:bCs w:val="false"/>
                <w:sz w:val="20"/>
                <w:szCs w:val="20"/>
              </w:rPr>
              <w:t xml:space="preserve">Élevé</w:t>
            </w:r>
          </w:p>
        </w:tc>
        <w:tc>
          <w:tcPr>
            <w:tcW w:type="dxa" w:w="1200"/>
            <w:shd w:fill="D9E1F2" w:val="clear"/>
            <w:tcMar>
              <w:top w:type="dxa" w:w="80"/>
              <w:left w:type="dxa" w:w="100"/>
              <w:bottom w:type="dxa" w:w="80"/>
              <w:right w:type="dxa" w:w="100"/>
            </w:tcMar>
          </w:tcPr>
          <w:p>
            <w:r>
              <w:rPr>
                <w:b w:val="false"/>
                <w:bCs w:val="false"/>
                <w:sz w:val="20"/>
                <w:szCs w:val="20"/>
              </w:rPr>
              <w:t xml:space="preserve">Moyen</w:t>
            </w:r>
          </w:p>
        </w:tc>
      </w:tr>
      <w:tr>
        <w:tc>
          <w:tcPr>
            <w:tcW w:type="dxa" w:w="4600"/>
            <w:tcMar>
              <w:top w:type="dxa" w:w="80"/>
              <w:left w:type="dxa" w:w="100"/>
              <w:bottom w:type="dxa" w:w="80"/>
              <w:right w:type="dxa" w:w="100"/>
            </w:tcMar>
          </w:tcPr>
          <w:p>
            <w:r>
              <w:rPr>
                <w:b w:val="false"/>
                <w:bCs w:val="false"/>
                <w:sz w:val="20"/>
                <w:szCs w:val="20"/>
              </w:rPr>
              <w:t xml:space="preserve">Abonnement « cadeau récurrent » mensuel pour un proche</w:t>
            </w:r>
          </w:p>
        </w:tc>
        <w:tc>
          <w:tcPr>
            <w:tcW w:type="dxa" w:w="2600"/>
            <w:tcMar>
              <w:top w:type="dxa" w:w="80"/>
              <w:left w:type="dxa" w:w="100"/>
              <w:bottom w:type="dxa" w:w="80"/>
              <w:right w:type="dxa" w:w="100"/>
            </w:tcMar>
          </w:tcPr>
          <w:p>
            <w:r>
              <w:rPr>
                <w:b w:val="false"/>
                <w:bCs w:val="false"/>
                <w:sz w:val="20"/>
                <w:szCs w:val="20"/>
              </w:rPr>
              <w:t xml:space="preserve">Transformer un achat ponctuel en revenu récurrent prévisible</w:t>
            </w:r>
          </w:p>
        </w:tc>
        <w:tc>
          <w:tcPr>
            <w:tcW w:type="dxa" w:w="1200"/>
            <w:tcMar>
              <w:top w:type="dxa" w:w="80"/>
              <w:left w:type="dxa" w:w="100"/>
              <w:bottom w:type="dxa" w:w="80"/>
              <w:right w:type="dxa" w:w="100"/>
            </w:tcMar>
          </w:tcPr>
          <w:p>
            <w:r>
              <w:rPr>
                <w:b w:val="false"/>
                <w:bCs w:val="false"/>
                <w:sz w:val="20"/>
                <w:szCs w:val="20"/>
              </w:rPr>
              <w:t xml:space="preserve">Élevé</w:t>
            </w:r>
          </w:p>
        </w:tc>
        <w:tc>
          <w:tcPr>
            <w:tcW w:type="dxa" w:w="1200"/>
            <w:tcMar>
              <w:top w:type="dxa" w:w="80"/>
              <w:left w:type="dxa" w:w="100"/>
              <w:bottom w:type="dxa" w:w="80"/>
              <w:right w:type="dxa" w:w="100"/>
            </w:tcMar>
          </w:tcPr>
          <w:p>
            <w:r>
              <w:rPr>
                <w:b w:val="false"/>
                <w:bCs w:val="false"/>
                <w:sz w:val="20"/>
                <w:szCs w:val="20"/>
              </w:rPr>
              <w:t xml:space="preserve">Moyen</w:t>
            </w:r>
          </w:p>
        </w:tc>
      </w:tr>
      <w:tr>
        <w:tc>
          <w:tcPr>
            <w:tcW w:type="dxa" w:w="4600"/>
            <w:shd w:fill="D9E1F2" w:val="clear"/>
            <w:tcMar>
              <w:top w:type="dxa" w:w="80"/>
              <w:left w:type="dxa" w:w="100"/>
              <w:bottom w:type="dxa" w:w="80"/>
              <w:right w:type="dxa" w:w="100"/>
            </w:tcMar>
          </w:tcPr>
          <w:p>
            <w:r>
              <w:rPr>
                <w:b w:val="false"/>
                <w:bCs w:val="false"/>
                <w:sz w:val="20"/>
                <w:szCs w:val="20"/>
              </w:rPr>
              <w:t xml:space="preserve">Extension à d'autres axes à forte diaspora (Douala–Bamenda, Yaoundé–Bafoussam)</w:t>
            </w:r>
          </w:p>
        </w:tc>
        <w:tc>
          <w:tcPr>
            <w:tcW w:type="dxa" w:w="2600"/>
            <w:shd w:fill="D9E1F2" w:val="clear"/>
            <w:tcMar>
              <w:top w:type="dxa" w:w="80"/>
              <w:left w:type="dxa" w:w="100"/>
              <w:bottom w:type="dxa" w:w="80"/>
              <w:right w:type="dxa" w:w="100"/>
            </w:tcMar>
          </w:tcPr>
          <w:p>
            <w:r>
              <w:rPr>
                <w:b w:val="false"/>
                <w:bCs w:val="false"/>
                <w:sz w:val="20"/>
                <w:szCs w:val="20"/>
              </w:rPr>
              <w:t xml:space="preserve">Répliquer le modèle sans changer d'approche produit</w:t>
            </w:r>
          </w:p>
        </w:tc>
        <w:tc>
          <w:tcPr>
            <w:tcW w:type="dxa" w:w="1200"/>
            <w:shd w:fill="D9E1F2" w:val="clear"/>
            <w:tcMar>
              <w:top w:type="dxa" w:w="80"/>
              <w:left w:type="dxa" w:w="100"/>
              <w:bottom w:type="dxa" w:w="80"/>
              <w:right w:type="dxa" w:w="100"/>
            </w:tcMar>
          </w:tcPr>
          <w:p>
            <w:r>
              <w:rPr>
                <w:b w:val="false"/>
                <w:bCs w:val="false"/>
                <w:sz w:val="20"/>
                <w:szCs w:val="20"/>
              </w:rPr>
              <w:t xml:space="preserve">Moyen</w:t>
            </w:r>
          </w:p>
        </w:tc>
        <w:tc>
          <w:tcPr>
            <w:tcW w:type="dxa" w:w="1200"/>
            <w:shd w:fill="D9E1F2" w:val="clear"/>
            <w:tcMar>
              <w:top w:type="dxa" w:w="80"/>
              <w:left w:type="dxa" w:w="100"/>
              <w:bottom w:type="dxa" w:w="80"/>
              <w:right w:type="dxa" w:w="100"/>
            </w:tcMar>
          </w:tcPr>
          <w:p>
            <w:r>
              <w:rPr>
                <w:b w:val="false"/>
                <w:bCs w:val="false"/>
                <w:sz w:val="20"/>
                <w:szCs w:val="20"/>
              </w:rPr>
              <w:t xml:space="preserve">Moyen</w:t>
            </w:r>
          </w:p>
        </w:tc>
      </w:tr>
      <w:tr>
        <w:tc>
          <w:tcPr>
            <w:tcW w:type="dxa" w:w="4600"/>
            <w:tcMar>
              <w:top w:type="dxa" w:w="80"/>
              <w:left w:type="dxa" w:w="100"/>
              <w:bottom w:type="dxa" w:w="80"/>
              <w:right w:type="dxa" w:w="100"/>
            </w:tcMar>
          </w:tcPr>
          <w:p>
            <w:r>
              <w:rPr>
                <w:b w:val="false"/>
                <w:bCs w:val="false"/>
                <w:sz w:val="20"/>
                <w:szCs w:val="20"/>
              </w:rPr>
              <w:t xml:space="preserve">Partenariats co-marketing avec agences de transfert d'argent / mobile money int.</w:t>
            </w:r>
          </w:p>
        </w:tc>
        <w:tc>
          <w:tcPr>
            <w:tcW w:type="dxa" w:w="2600"/>
            <w:tcMar>
              <w:top w:type="dxa" w:w="80"/>
              <w:left w:type="dxa" w:w="100"/>
              <w:bottom w:type="dxa" w:w="80"/>
              <w:right w:type="dxa" w:w="100"/>
            </w:tcMar>
          </w:tcPr>
          <w:p>
            <w:r>
              <w:rPr>
                <w:b w:val="false"/>
                <w:bCs w:val="false"/>
                <w:sz w:val="20"/>
                <w:szCs w:val="20"/>
              </w:rPr>
              <w:t xml:space="preserve">Toucher la diaspora là où elle envoie déjà de l'argent</w:t>
            </w:r>
          </w:p>
        </w:tc>
        <w:tc>
          <w:tcPr>
            <w:tcW w:type="dxa" w:w="1200"/>
            <w:tcMar>
              <w:top w:type="dxa" w:w="80"/>
              <w:left w:type="dxa" w:w="100"/>
              <w:bottom w:type="dxa" w:w="80"/>
              <w:right w:type="dxa" w:w="100"/>
            </w:tcMar>
          </w:tcPr>
          <w:p>
            <w:r>
              <w:rPr>
                <w:b w:val="false"/>
                <w:bCs w:val="false"/>
                <w:sz w:val="20"/>
                <w:szCs w:val="20"/>
              </w:rPr>
              <w:t xml:space="preserve">Moyen</w:t>
            </w:r>
          </w:p>
        </w:tc>
        <w:tc>
          <w:tcPr>
            <w:tcW w:type="dxa" w:w="1200"/>
            <w:tcMar>
              <w:top w:type="dxa" w:w="80"/>
              <w:left w:type="dxa" w:w="100"/>
              <w:bottom w:type="dxa" w:w="80"/>
              <w:right w:type="dxa" w:w="100"/>
            </w:tcMar>
          </w:tcPr>
          <w:p>
            <w:r>
              <w:rPr>
                <w:b w:val="false"/>
                <w:bCs w:val="false"/>
                <w:sz w:val="20"/>
                <w:szCs w:val="20"/>
              </w:rPr>
              <w:t xml:space="preserve">Moyen</w:t>
            </w:r>
          </w:p>
        </w:tc>
      </w:tr>
      <w:tr>
        <w:tc>
          <w:tcPr>
            <w:tcW w:type="dxa" w:w="4600"/>
            <w:shd w:fill="D9E1F2" w:val="clear"/>
            <w:tcMar>
              <w:top w:type="dxa" w:w="80"/>
              <w:left w:type="dxa" w:w="100"/>
              <w:bottom w:type="dxa" w:w="80"/>
              <w:right w:type="dxa" w:w="100"/>
            </w:tcMar>
          </w:tcPr>
          <w:p>
            <w:r>
              <w:rPr>
                <w:b w:val="false"/>
                <w:bCs w:val="false"/>
                <w:sz w:val="20"/>
                <w:szCs w:val="20"/>
              </w:rPr>
              <w:t xml:space="preserve">Programme de fidélité chauffeur au-delà de la commission (bonus paliers, priorité trajets diaspora)</w:t>
            </w:r>
          </w:p>
        </w:tc>
        <w:tc>
          <w:tcPr>
            <w:tcW w:type="dxa" w:w="2600"/>
            <w:shd w:fill="D9E1F2" w:val="clear"/>
            <w:tcMar>
              <w:top w:type="dxa" w:w="80"/>
              <w:left w:type="dxa" w:w="100"/>
              <w:bottom w:type="dxa" w:w="80"/>
              <w:right w:type="dxa" w:w="100"/>
            </w:tcMar>
          </w:tcPr>
          <w:p>
            <w:r>
              <w:rPr>
                <w:b w:val="false"/>
                <w:bCs w:val="false"/>
                <w:sz w:val="20"/>
                <w:szCs w:val="20"/>
              </w:rPr>
              <w:t xml:space="preserve">Réduire le churn chauffeurs identifié comme risque n°1 du modèle</w:t>
            </w:r>
          </w:p>
        </w:tc>
        <w:tc>
          <w:tcPr>
            <w:tcW w:type="dxa" w:w="1200"/>
            <w:shd w:fill="D9E1F2" w:val="clear"/>
            <w:tcMar>
              <w:top w:type="dxa" w:w="80"/>
              <w:left w:type="dxa" w:w="100"/>
              <w:bottom w:type="dxa" w:w="80"/>
              <w:right w:type="dxa" w:w="100"/>
            </w:tcMar>
          </w:tcPr>
          <w:p>
            <w:r>
              <w:rPr>
                <w:b w:val="false"/>
                <w:bCs w:val="false"/>
                <w:sz w:val="20"/>
                <w:szCs w:val="20"/>
              </w:rPr>
              <w:t xml:space="preserve">Élevé</w:t>
            </w:r>
          </w:p>
        </w:tc>
        <w:tc>
          <w:tcPr>
            <w:tcW w:type="dxa" w:w="1200"/>
            <w:shd w:fill="D9E1F2" w:val="clear"/>
            <w:tcMar>
              <w:top w:type="dxa" w:w="80"/>
              <w:left w:type="dxa" w:w="100"/>
              <w:bottom w:type="dxa" w:w="80"/>
              <w:right w:type="dxa" w:w="100"/>
            </w:tcMar>
          </w:tcPr>
          <w:p>
            <w:r>
              <w:rPr>
                <w:b w:val="false"/>
                <w:bCs w:val="false"/>
                <w:sz w:val="20"/>
                <w:szCs w:val="20"/>
              </w:rPr>
              <w:t xml:space="preserve">Faible</w:t>
            </w:r>
          </w:p>
        </w:tc>
      </w:tr>
      <w:tr>
        <w:tc>
          <w:tcPr>
            <w:tcW w:type="dxa" w:w="4600"/>
            <w:tcMar>
              <w:top w:type="dxa" w:w="80"/>
              <w:left w:type="dxa" w:w="100"/>
              <w:bottom w:type="dxa" w:w="80"/>
              <w:right w:type="dxa" w:w="100"/>
            </w:tcMar>
          </w:tcPr>
          <w:p>
            <w:r>
              <w:rPr>
                <w:b w:val="false"/>
                <w:bCs w:val="false"/>
                <w:sz w:val="20"/>
                <w:szCs w:val="20"/>
              </w:rPr>
              <w:t xml:space="preserve">Option colis couplée aux trajets (petit fret pour la diaspora)</w:t>
            </w:r>
          </w:p>
        </w:tc>
        <w:tc>
          <w:tcPr>
            <w:tcW w:type="dxa" w:w="2600"/>
            <w:tcMar>
              <w:top w:type="dxa" w:w="80"/>
              <w:left w:type="dxa" w:w="100"/>
              <w:bottom w:type="dxa" w:w="80"/>
              <w:right w:type="dxa" w:w="100"/>
            </w:tcMar>
          </w:tcPr>
          <w:p>
            <w:r>
              <w:rPr>
                <w:b w:val="false"/>
                <w:bCs w:val="false"/>
                <w:sz w:val="20"/>
                <w:szCs w:val="20"/>
              </w:rPr>
              <w:t xml:space="preserve">Cross-sell sur la même base chauffeurs/trajets</w:t>
            </w:r>
          </w:p>
        </w:tc>
        <w:tc>
          <w:tcPr>
            <w:tcW w:type="dxa" w:w="1200"/>
            <w:tcMar>
              <w:top w:type="dxa" w:w="80"/>
              <w:left w:type="dxa" w:w="100"/>
              <w:bottom w:type="dxa" w:w="80"/>
              <w:right w:type="dxa" w:w="100"/>
            </w:tcMar>
          </w:tcPr>
          <w:p>
            <w:r>
              <w:rPr>
                <w:b w:val="false"/>
                <w:bCs w:val="false"/>
                <w:sz w:val="20"/>
                <w:szCs w:val="20"/>
              </w:rPr>
              <w:t xml:space="preserve">Moyen</w:t>
            </w:r>
          </w:p>
        </w:tc>
        <w:tc>
          <w:tcPr>
            <w:tcW w:type="dxa" w:w="1200"/>
            <w:tcMar>
              <w:top w:type="dxa" w:w="80"/>
              <w:left w:type="dxa" w:w="100"/>
              <w:bottom w:type="dxa" w:w="80"/>
              <w:right w:type="dxa" w:w="100"/>
            </w:tcMar>
          </w:tcPr>
          <w:p>
            <w:r>
              <w:rPr>
                <w:b w:val="false"/>
                <w:bCs w:val="false"/>
                <w:sz w:val="20"/>
                <w:szCs w:val="20"/>
              </w:rPr>
              <w:t xml:space="preserve">Élevé</w:t>
            </w:r>
          </w:p>
        </w:tc>
      </w:tr>
    </w:tbl>
    <w:p>
      <w:pPr>
        <w:spacing w:before="200"/>
      </w:pPr>
    </w:p>
    <w:p>
      <w:pPr>
        <w:spacing w:after="160"/>
      </w:pPr>
      <w:r>
        <w:rPr>
          <w:i/>
          <w:iCs/>
          <w:color w:val="595959"/>
        </w:rPr>
        <w:t xml:space="preserve">Priorité suggérée : commencer par le parrainage diaspora et le programme de fidélité chauffeur — impact élevé, effort faible, et ils adressent directement les deux variables qui pèsent le plus sur le scénario pessimiste du modèle financier (acquisition diaspora lente et churn chauffeurs).</w:t>
      </w:r>
    </w:p>
    <w:p>
      <w:pPr>
        <w:pStyle w:val="Heading1"/>
        <w:spacing w:after="160" w:before="320"/>
      </w:pPr>
      <w:r>
        <w:t xml:space="preserve">4. Sources</w:t>
      </w:r>
    </w:p>
    <w:p>
      <w:pPr>
        <w:pStyle w:val="ListParagraph"/>
        <w:numPr>
          <w:ilvl w:val="0"/>
          <w:numId w:val="2"/>
        </w:numPr>
        <w:spacing w:after="80"/>
      </w:pPr>
      <w:r>
        <w:rPr>
          <w:color w:val="595959"/>
          <w:sz w:val="18"/>
          <w:szCs w:val="18"/>
        </w:rPr>
        <w:t xml:space="preserve">Transport urbain : le ministre des Transports met en demeure Yango (mai 2026) — lebledparle.com</w:t>
      </w:r>
    </w:p>
    <w:p>
      <w:pPr>
        <w:pStyle w:val="ListParagraph"/>
        <w:numPr>
          <w:ilvl w:val="0"/>
          <w:numId w:val="2"/>
        </w:numPr>
        <w:spacing w:after="80"/>
      </w:pPr>
      <w:r>
        <w:rPr>
          <w:color w:val="595959"/>
          <w:sz w:val="18"/>
          <w:szCs w:val="18"/>
        </w:rPr>
        <w:t xml:space="preserve">Yango en perte de vitesse au Cameroun, départs de chauffeurs — 237online.com</w:t>
      </w:r>
    </w:p>
    <w:p>
      <w:pPr>
        <w:pStyle w:val="ListParagraph"/>
        <w:numPr>
          <w:ilvl w:val="0"/>
          <w:numId w:val="2"/>
        </w:numPr>
        <w:spacing w:after="80"/>
      </w:pPr>
      <w:r>
        <w:rPr>
          <w:color w:val="595959"/>
          <w:sz w:val="18"/>
          <w:szCs w:val="18"/>
        </w:rPr>
        <w:t xml:space="preserve">ONGO, l'opérateur camerounais qui veut concurrencer Yango — leconomie.info</w:t>
      </w:r>
    </w:p>
    <w:p>
      <w:pPr>
        <w:pStyle w:val="ListParagraph"/>
        <w:numPr>
          <w:ilvl w:val="0"/>
          <w:numId w:val="2"/>
        </w:numPr>
        <w:spacing w:after="80"/>
      </w:pPr>
      <w:r>
        <w:rPr>
          <w:color w:val="595959"/>
          <w:sz w:val="18"/>
          <w:szCs w:val="18"/>
        </w:rPr>
        <w:t xml:space="preserve">src/lib/commissionTiers.ts — paliers de commission, remise paiement digital, tarifs officiels (code SideBySide)</w:t>
      </w:r>
    </w:p>
    <w:p>
      <w:pPr>
        <w:pStyle w:val="ListParagraph"/>
        <w:numPr>
          <w:ilvl w:val="0"/>
          <w:numId w:val="2"/>
        </w:numPr>
        <w:spacing w:after="80"/>
      </w:pPr>
      <w:r>
        <w:rPr>
          <w:color w:val="595959"/>
          <w:sz w:val="18"/>
          <w:szCs w:val="18"/>
        </w:rPr>
        <w:t xml:space="preserve">SideBySide - Projection financière 3 ans.xlsx — onglets Annuel et Scénarios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4472C4" w:sz="6" w:space="4"/>
      </w:pBdr>
      <w:spacing w:after="160" w:before="320"/>
    </w:pPr>
    <w:rPr>
      <w:rFonts w:ascii="Arial" w:cs="Arial" w:eastAsia="Arial" w:hAnsi="Arial"/>
      <w:b/>
      <w:bCs/>
      <w:color w:val="1F3864"/>
      <w:sz w:val="28"/>
      <w:szCs w:val="28"/>
    </w:rPr>
  </w:style>
  <w:style w:type="paragraph" w:styleId="Heading2">
    <w:name w:val="Heading 2"/>
    <w:basedOn w:val="Normal"/>
    <w:next w:val="Normal"/>
    <w:pPr>
      <w:spacing w:after="120" w:before="240"/>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2026-08-12T21:05:58.131Z</dcterms:created>
  <dcterms:modified xsi:type="dcterms:W3CDTF">2026-08-12T21:05:58.133Z</dcterms:modified>
</cp:coreProperties>
</file>

<file path=docProps/custom.xml><?xml version="1.0" encoding="utf-8"?>
<Properties xmlns="http://schemas.openxmlformats.org/officeDocument/2006/custom-properties" xmlns:vt="http://schemas.openxmlformats.org/officeDocument/2006/docPropsVTypes"/>
</file>