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Arial" w:eastAsia="Microsoft YaHei" w:hAnsi="Arial"/>
          <w:b/>
          <w:bCs/>
          <w:i w:val="false"/>
          <w:iCs w:val="false"/>
          <w:color w:val="A8863A"/>
          <w:sz w:val="19"/>
          <w:szCs w:val="19"/>
        </w:rPr>
        <w:t xml:space="preserve">机器学习 · 蛋白质工程</w:t>
      </w:r>
    </w:p>
    <w:p>
      <w:pPr>
        <w:spacing w:after="120" w:before="0" w:line="34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6"/>
          <w:szCs w:val="36"/>
        </w:rPr>
        <w:t xml:space="preserve">UGT91C1 糖基转移酶突变体活性预测模型</w:t>
      </w:r>
    </w:p>
    <w:p>
      <w:pPr>
        <w:spacing w:after="200" w:before="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3"/>
          <w:szCs w:val="23"/>
        </w:rPr>
        <w:t xml:space="preserve">面向候选突变体筛选的专用排序模型：数据协议重建、特征方案升级、按位点留出评测与实验数据验证</w:t>
      </w:r>
    </w:p>
    <w:p>
      <w:pPr>
        <w:spacing w:after="240" w:before="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目标蛋白：UGT91C1（462 aa）　|　评测口径：排序能力（Spearman / AUC / top-k）　|　报告日期：2026-10-16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关键指标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67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条</w:t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实验突变体数据 — 批次 A（Sheet1，19 条）与批次 B（F208M 组合库，48 条）合并，按批内 WT 归一化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0.477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零样本进化分数 macro Spearman — 在 27 个位点留出评测下的最佳排序能力，优于线上配方 0.287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A8863A"/>
          <w:sz w:val="32"/>
          <w:szCs w:val="32"/>
        </w:rPr>
        <w:t xml:space="preserve">5 / 5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Sheet1 真实高活性突变体覆盖率 — 前 10 名候选即覆盖全部 5 个实测 top5 突变体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1.76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倍</w:t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批次间原始活性尺度漂移 — 直接混用两批数据会引入系统性偏差，必须做批内归一化</w:t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一句话结论：在“挑出活性最高的前 N 个候选”这一目标下，参数无关的进化零样本分数是目前最稳的排序器；在 1280 维 ESM 表征上训练的浅头受样本量限制，外推到新位点时反而退化。模型可用，但必须只按名次取前 N，不要用预测绝对值做阈值筛选。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01　项目任务与核心命题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本项目要解决的是一个明确的工程问题：在 UGT91C1 这个单一酶上，从大量待测候选突变体中，用机器学习挑出活性最高的少数几个，减少湿实验的工作量与消耗。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任务定义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输入：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候选突变体的氨基酸序列（相对于野生型 WT 的突变位点与取代类型）。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输出：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候选突变体的活性排序，用于取前 N 个送去做实验验证。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标签：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相对野生型的比酶活 activity_rel（WT = 1.0）。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核心指标：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排序能力 — Spearman 相关系数、AUC（判别活性高于 WT 的能力）、以及取前 k 个候选时命中真实高活性突变体的比例。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为什么是排序，而不是拟合精度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这是本项目最关键的一次认知校准。活性预测的绝对数值受实验条件、底物浓度、检测批次影响极大，回归 R² 与 RMSE 会被这些系统性因素主导；而实际筛选流程只关心“哪些排前面”。因此：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不追求 R² 高，只看名次是否可靠；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不使用预测绝对值做阈值筛选（例如“预测活性 &gt; 2 就送测”），因为绝对值的偏移会让阈值失效；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评测时优先看 Spearman 与 top-k 命中率，RMSE 仅作参考。</w:t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红线（本次执行中严格守住的四件事）：① 不冻结全量微调 650M 参数（数据量仅 67 条，必然过拟合）；② 不用随机折交叉验证选超参（会虚高泛化能力）；③ 不用预测绝对值做阈值筛选；④ 不跨模型直接比较分数绝对值。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本报告的交付范围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重建统一训练集与评测协议（Tier 0）；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新增三类冻结特征：全序列 mean-pool、突变位点窗口、masked-marginal 零样本进化分数（Tier 1）；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按位点留出交叉验证，对比线上配方与五组新方案的排序能力（Tier 2）；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用实验室真实数据（Sheet1）做样本外验证，并对候选库输出可用排名（Tier 3）。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02　数据重建与评测协议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数据层面的三个动作：核验标签来源、消除批次偏差、冻结一套能反映真实泛化场景的评测协议。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2.1　两批实验数据的尺度差异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实验数据来自两个独立批次，其原始比酶活不在同一尺度上：批次 A 的批内 WT 为 0.021，批次 B 的批内 WT 为 3.700，两者相差 1.76 倍。若不处理直接混用，模型会学到“批次”这个与生物活性无关的伪特征。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图 1　两批次原始活性尺度差异（左）与数据规模（右）。批次 A 与批次 B 的活性分布在对数刻度上整体错开。" descr="图 1　两批次原始活性尺度差异（左）与数据规模（右）。批次 A 与批次 B 的活性分布在对数刻度上整体错开。" title="图 1　两批次原始活性尺度差异（左）与数据规模（右）。批次 A 与批次 B 的活性分布在对数刻度上整体错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1　两批次原始活性尺度差异（左）与数据规模（右）。批次 A 与批次 B 的活性分布在对数刻度上整体错开。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2.2　批内 WT 归一化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解决办法是各批次分别以批内 WT 为基准归一化：activity_rel = 该批实测值 / 该批 WT 实测值。归一化后两批分布回到同一尺度，WT 恒为 1.0，可以直接合并建模。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152650"/>
            <wp:effectExtent t="0" r="0" b="0" l="0"/>
            <wp:docPr id="2" name="图 2　归一化前（左）两批次明显分离；归一化后（右）分布对齐，可直接合并。" descr="图 2　归一化前（左）两批次明显分离；归一化后（右）分布对齐，可直接合并。" title="图 2　归一化前（左）两批次明显分离；归一化后（右）分布对齐，可直接合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2　归一化前（左）两批次明显分离；归一化后（右）分布对齐，可直接合并。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2.3　突变位点分布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1371600"/>
            <wp:effectExtent t="0" r="0" b="0" l="0"/>
            <wp:docPr id="3" name="图 3　实验突变位点在 462 aa 序列上的分布。批次 A 覆盖 15 个位点，批次 B 覆盖 15 个位点，其中 208 位（F208M）出现在几乎所有批次 B 变体中，属背景位点，建模与评测时单独处理。" descr="图 3　实验突变位点在 462 aa 序列上的分布。批次 A 覆盖 15 个位点，批次 B 覆盖 15 个位点，其中 208 位（F208M）出现在几乎所有批次 B 变体中，属背景位点，建模与评测时单独处理。" title="图 3　实验突变位点在 462 aa 序列上的分布。批次 A 覆盖 15 个位点，批次 B 覆盖 15 个位点，其中 208 位（F208M）出现在几乎所有批次 B 变体中，属背景位点，建模与评测时单独处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3　实验突变位点在 462 aa 序列上的分布。批次 A 覆盖 15 个位点，批次 B 覆盖 15 个位点，其中 208 位（F208M）出现在几乎所有批次 B 变体中，属背景位点，建模与评测时单独处理。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2.4　按位点留出交叉验证（关键协议）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评测协议决定了结论是否可信。本项目冻结以下协议：</w:t>
      </w:r>
    </w:p>
    <w:p>
      <w:pPr>
        <w:shd w:fill="F4F7FC" w:val="clear"/>
        <w:spacing w:after="120" w:before="120" w:line="300"/>
        <w:ind w:left="140" w:right="14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Leave-one-site-out CV：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对每一个非背景突变位点 p，把“所有在 p 位发生突变的变体”整体作为测试集，其余变体作训练集。一个变体若携带多个突变位点，会在多个折中被预测，取其平均作为样本外预测。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这样做评测的是「模型能否外推到从未见过的突变位点」——这正是“从候选库挑新突变体”的真实场景。随机折会把同一位点的样本同时放进训练与测试，导致分数虚高，因此被明确禁止。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最终评测集为 27 个非背景位点 / 64 个变体；背景位点 208 从评测中剔除，避免“所有变体都带同一个突变”造成的常数效应。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2.5　数据规模与突变数分布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3409950"/>
            <wp:effectExtent t="0" r="0" b="0" l="0"/>
            <wp:docPr id="4" name="图 4　批次 B 中突变数与活性的关系：携带突变越多，越难维持高活性，单突变体的活性中位数明显更高。" descr="图 4　批次 B 中突变数与活性的关系：携带突变越多，越难维持高活性，单突变体的活性中位数明显更高。" title="图 4　批次 B 中突变数与活性的关系：携带突变越多，越难维持高活性，单突变体的活性中位数明显更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4　批次 B 中突变数与活性的关系：携带突变越多，越难维持高活性，单突变体的活性中位数明显更高。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3248025"/>
            <wp:effectExtent t="0" r="0" b="0" l="0"/>
            <wp:docPr id="5" name="图 5　批次 B 各位点的取代–活性图谱。空白格表示该取代组合未测。可看出同一取代类型在不同位点上的活性差异极大，位点特异性强。" descr="图 5　批次 B 各位点的取代–活性图谱。空白格表示该取代组合未测。可看出同一取代类型在不同位点上的活性差异极大，位点特异性强。" title="图 5　批次 B 各位点的取代–活性图谱。空白格表示该取代组合未测。可看出同一取代类型在不同位点上的活性差异极大，位点特异性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5　批次 B 各位点的取代–活性图谱。空白格表示该取代组合未测。可看出同一取代类型在不同位点上的活性差异极大，位点特异性强。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03　线上基线模型的复现与缺陷定位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在升级方案之前，先确认现有线上模型是否还能正常使用。结论是：模型文件本身已不可用，必须重训。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3.1　缺陷：跨版本加载丢截距</w:t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问题定位：线上模型 models/xgb_esm.pkl 由旧版 XGBoost 序列化。在当前环境（XGBoost 3.0.5）下加载时会丢失 base_score 截距，导致所有预测值整体偏移约 1.4：实测 activity_rel 均值分别为 1.05 / 1.52，而直接加载预测的均值仅 -0.34 / 0.12。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影响面：平台的预测绝对数值、首页展示的 RMSE 与“准确度”指标均不可信。但排序不受影响——整体平移不改变名次，所以“按名次取前 N”的用法依然有效。为彻底消除隐患，本次在本地以完全相同配方重训模型。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3.2　基线配方</w:t>
      </w:r>
    </w:p>
    <w:p>
      <w:pPr>
        <w:shd w:fill="F4F7FC" w:val="clear"/>
        <w:spacing w:after="120" w:before="120" w:line="300"/>
        <w:ind w:left="140" w:right="14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特征：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ESM2-t33-650M 全序列 mean-pool 表征（1280 维）+ 23 维领域先验（进化 PSSM、共进化、结构几何、口袋性质、稳定性 ΔΔG）　</w:t>
      </w: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模型：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XGBoost 回归（600 棵树，max_depth 4，lr 0.05）　</w:t>
      </w: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目标：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批内 WT 归一的 activity_rel。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3.3　基线在按位点留出下的表现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4743450"/>
            <wp:effectExtent t="0" r="0" b="0" l="0"/>
            <wp:docPr id="6" name="图 6　线上配方的样本外预测 vs 实测。整体呈正向趋势，说明基线具备基本的排序能力，但点位分散度大，绝对数值不可依赖。" descr="图 6　线上配方的样本外预测 vs 实测。整体呈正向趋势，说明基线具备基本的排序能力，但点位分散度大，绝对数值不可依赖。" title="图 6　线上配方的样本外预测 vs 实测。整体呈正向趋势，说明基线具备基本的排序能力，但点位分散度大，绝对数值不可依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6　线上配方的样本外预测 vs 实测。整体呈正向趋势，说明基线具备基本的排序能力，但点位分散度大，绝对数值不可依赖。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基线在 27 个位点留出评测下取得 macro Spearman 0.287、AUC 0.641。这个水平说明：模型能捕捉一部分信号，但外推到新位点时能力明显衰减——这正是本次方案要解决的问题。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04　三类冻结特征的构建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在不微调 650M 参数的前提下，提升表征对“突变”这一事件的敏感度。共构造三类特征，全部为冻结特征。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4.1　全序列 mean-pool（基线表征）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对整条突变后序列的残基表征取均值（1280 维）。优点是信息全局、稳定；缺点是单点突变被 462 个残基平均稀释，信号强度低，这也是基线外推能力弱的根本原因。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4.2　突变位点窗口（site-window）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仅在突变位点 ± 2 个残基的邻域内取表征并平均，聚焦局部环境。同时输出剔除背景位点后的版本（site-local），消除所有变体共有的常数项。设计意图是让突变信号不被稀释。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4.3　masked-marginal 零样本进化分数（关键新增）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这是本次最有价值的特征，思路源自 ESM-1v 的零样本突变效应打分：</w:t>
      </w:r>
    </w:p>
    <w:p>
      <w:pPr>
        <w:shd w:fill="F4F7FC" w:val="clear"/>
        <w:spacing w:after="120" w:before="120" w:line="30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20"/>
          <w:szCs w:val="20"/>
        </w:rPr>
        <w:t xml:space="preserve">以野生型序列为模板，把待评估位点替换为 &lt;mask&gt;，让语言模型给出该位点的氨基酸概率分布，然后计算对数几率：score = log p(突变氨基酸) - log p(野生型氨基酸)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该分数衡量的是“进化过程是否接受这个取代”：分数越高，说明该取代在自然同源序列中越常见，通常越可能保持功能。它完全不依赖任何活性标签，因此不存在小样本过拟合问题，天然适合外推到新位点。本项目同时输出位点分数之和、均值、最小值和仅非背景位点的版本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4.4　方案对比设计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共评测 6 个方案，覆盖基线、单特征、特征组合与不同浅头：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1800"/>
        <w:gridCol w:w="926"/>
      </w:tblGrid>
      <w:tr>
        <w:trPr>
          <w:cantSplit/>
          <w:tblHeader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特征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模型头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特征维度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ZS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零样本分数（仅非背景位点）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无（参数无关）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M0（线上配方）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mean-pool + 先验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M1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零样本 + 先验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M2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位点窗口 + 零样本 + 先验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标准化 + PCA(32) + Ridge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M3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位点窗口 + 零样本 + 先验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M4</w:t>
            </w:r>
          </w:p>
        </w:tc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mean-pool + 位点窗口 + 零样本 + 先验</w:t>
            </w:r>
          </w:p>
        </w:tc>
        <w:tc>
          <w:tcPr>
            <w:tcW w:type="dxa" w:w="1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标准化 + PCA(32) + Ridge</w:t>
            </w:r>
          </w:p>
        </w:tc>
        <w:tc>
          <w:tcPr>
            <w:tcW w:type="dxa" w:w="9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2590</w:t>
            </w:r>
          </w:p>
        </w:tc>
      </w:tr>
    </w:tbl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为控制过拟合做的设计约束：所有方案一律冻结 650M 主干；高维特征必须先降维再送入线性头（M2/M4 用 PCA 压到 32 维，可训练参数约 1K 量级）；不冻结主干、不微调大参数矩阵。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05　按位点留出评测结果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27 个位点留出、64 个变体评测。结论明确：零样本分数胜出，位点窗口表征是负贡献。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238375"/>
            <wp:effectExtent t="0" r="0" b="0" l="0"/>
            <wp:docPr id="7" name="图 7　方案对比。A 图为 Spearman（粗条为 macro、细条为 pooled），B 图为 AUC 与 Recall@10。零样本分数在两项排序指标上均最优；位点窗口方案（M2/M3）出现负相关。" descr="图 7　方案对比。A 图为 Spearman（粗条为 macro、细条为 pooled），B 图为 AUC 与 Recall@10。零样本分数在两项排序指标上均最优；位点窗口方案（M2/M3）出现负相关。" title="图 7　方案对比。A 图为 Spearman（粗条为 macro、细条为 pooled），B 图为 AUC 与 Recall@10。零样本分数在两项排序指标上均最优；位点窗口方案（M2/M3）出现负相关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7　方案对比。A 图为 Spearman（粗条为 macro、细条为 pooled），B 图为 AUC 与 Recall@10。零样本分数在两项排序指标上均最优；位点窗口方案（M2/M3）出现负相关。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5.1　完整指标表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26"/>
      </w:tblGrid>
      <w:tr>
        <w:trPr>
          <w:cantSplit/>
          <w:tblHeader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macro Spearman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pooled Spearman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macro AUC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macro Recall@10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ZS 零样本分数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0.477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0.401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0.742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0.450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M0 mean-pool+先验 XGB（线上配方）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0.287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0.281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0.641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M1 零样本+先验 XGB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0.170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0.214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0.695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M4 全特征融合 PCA+Ridge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0.129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0.210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0.630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M2 位点窗口+零样本 PCA+Ridge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-0.123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-0.146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0.463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0.450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M3 位点窗口+零样本 XGB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-0.170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-0.142</w:t>
            </w:r>
          </w:p>
        </w:tc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0.446</w:t>
            </w:r>
          </w:p>
        </w:tc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0.350</w:t>
            </w:r>
          </w:p>
        </w:tc>
      </w:tr>
    </w:tbl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5.2　三个关键结论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0.477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vs 0.287</w:t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零样本分数 macro Spearman 高于线上配方 66%，且该分数不需要任何训练、不消耗标签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-0.170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位点窗口方案（M3）的 macro Spearman 为负 — 在 67 条数据规模下，位点局部表征是负贡献，最初的 Tier 1 假设不成立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A8863A"/>
          <w:sz w:val="32"/>
          <w:szCs w:val="32"/>
        </w:rPr>
        <w:t xml:space="preserve">0.170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vs 0.477</w:t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把零样本分数交给 XGBoost 训练（M1）后，排序能力反而从 0.477 掉到 0.170 — 训练头在此数据量下是拖累而非增益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5.3　分批次诊断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343150"/>
            <wp:effectExtent t="0" r="0" b="0" l="0"/>
            <wp:docPr id="8" name="图 8　左：零样本分数 vs 实测活性（按批次着色）。批次 A（单点突变）呈明显正相关；批次 B（组合库）相关性弱。右：各方法宏观排序能力汇总。" descr="图 8　左：零样本分数 vs 实测活性（按批次着色）。批次 A（单点突变）呈明显正相关；批次 B（组合库）相关性弱。右：各方法宏观排序能力汇总。" title="图 8　左：零样本分数 vs 实测活性（按批次着色）。批次 A（单点突变）呈明显正相关；批次 B（组合库）相关性弱。右：各方法宏观排序能力汇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8　左：零样本分数 vs 实测活性（按批次着色）。批次 A（单点突变）呈明显正相关；批次 B（组合库）相关性弱。右：各方法宏观排序能力汇总。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26"/>
        <w:gridCol w:w="4000"/>
      </w:tblGrid>
      <w:tr>
        <w:trPr>
          <w:cantSplit/>
          <w:tblHeader/>
        </w:trPr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数据子集</w:t>
            </w:r>
          </w:p>
        </w:tc>
        <w:tc>
          <w:tcPr>
            <w:tcW w:type="dxa" w:w="2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构成</w:t>
            </w:r>
          </w:p>
        </w:tc>
        <w:tc>
          <w:tcPr>
            <w:tcW w:type="dxa" w:w="16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零样本分数 Spearman</w:t>
            </w:r>
          </w:p>
        </w:tc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批次 A</w:t>
            </w:r>
          </w:p>
        </w:tc>
        <w:tc>
          <w:tcPr>
            <w:tcW w:type="dxa" w:w="2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 个单点突变</w:t>
            </w:r>
          </w:p>
        </w:tc>
        <w:tc>
          <w:tcPr>
            <w:tcW w:type="dxa" w:w="16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0.72</w:t>
            </w:r>
          </w:p>
        </w:tc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零样本分数表现优秀，AUC 达 0.89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批次 B</w:t>
            </w:r>
          </w:p>
        </w:tc>
        <w:tc>
          <w:tcPr>
            <w:tcW w:type="dxa" w:w="2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46 个 F208M 组合变体</w:t>
            </w:r>
          </w:p>
        </w:tc>
        <w:tc>
          <w:tcPr>
            <w:tcW w:type="dxa" w:w="16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0.23</w:t>
            </w:r>
          </w:p>
        </w:tc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组合突变叠加是当前唯一短板</w:t>
            </w:r>
          </w:p>
        </w:tc>
      </w:tr>
    </w:tbl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短板定位结论：单点突变的外推能力已经可用（Spearman 0.72）；组合突变（多突变叠加）的活性预测是本项目唯一未解决的薄弱环节。后续主动学习应专门补这一类样本。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06　实验室实测数据（Sheet1）验证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用批次 A 的 18 个真实实测单点突变体做样本外验证。模型训练集只使用批次 B 的 48 条数据，不含 Sheet1，因此这是严格样本外预测，可直接与实验真值对比作图。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6.1　预测与实测对比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200275"/>
            <wp:effectExtent t="0" r="0" b="0" l="0"/>
            <wp:docPr id="9" name="图 9　左：取前 k 个候选时的命中率曲线；右：高活性突变命中情况，深色块表示命中真实 top5。" descr="图 9　左：取前 k 个候选时的命中率曲线；右：高活性突变命中情况，深色块表示命中真实 top5。" title="图 9　左：取前 k 个候选时的命中率曲线；右：高活性突变命中情况，深色块表示命中真实 top5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9　左：取前 k 个候选时的命中率曲线；右：高活性突变命中情况，深色块表示命中真实 top5。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152650"/>
            <wp:effectExtent t="0" r="0" b="0" l="0"/>
            <wp:docPr id="10" name="图 10　候选库（1371 条）的零样本分数分布与突变数构成，作为 6.3 节应用部分的数据背景。" descr="图 10　候选库（1371 条）的零样本分数分布与突变数构成，作为 6.3 节应用部分的数据背景。" title="图 10　候选库（1371 条）的零样本分数分布与突变数构成，作为 6.3 节应用部分的数据背景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10　候选库（1371 条）的零样本分数分布与突变数构成，作为 6.3 节应用部分的数据背景。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6.2　逐条预测明细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下表为 18 个真实突变体的完整预测结果（WT 作为标定点单列，不参与突变体排名）。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1300"/>
        <w:gridCol w:w="1300"/>
        <w:gridCol w:w="1300"/>
        <w:gridCol w:w="1200"/>
        <w:gridCol w:w="1200"/>
        <w:gridCol w:w="1300"/>
      </w:tblGrid>
      <w:tr>
        <w:trPr>
          <w:cantSplit/>
          <w:tblHeader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突变体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实测 activity_rel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ESM+XGB 预测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零样本分数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实测名次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预测名次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零样本名次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F379L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1.487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0.267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F379E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3.29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0.972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-3.389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C121S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2.43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1.159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2.307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V129G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2.38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2.138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-1.178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C445S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1.919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1.347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WT（标定）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F379W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0.76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0.783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-1.818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F186E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0.71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1.334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1.976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V127L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0.62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0.710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-1.795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F369E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0.57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1.127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-6.114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F70E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1.172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-7.287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F453E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0.886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-11.916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V78G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0.24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0.735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-6.365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V278G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0.532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-7.671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V127G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0.587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-3.367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F106D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1.141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-3.483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F226E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0.835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-4.590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Y277R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0.810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-8.378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V143G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0.14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0.562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-8.915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3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</w:tr>
    </w:tbl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6.3　验证结论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0.664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ESM+XGB 配方在 18 个真实突变体上的 Spearman — 样本外仍保持正向排序能力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A8863A"/>
          <w:sz w:val="32"/>
          <w:szCs w:val="32"/>
        </w:rPr>
        <w:t xml:space="preserve">0.721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零样本分数的 Spearman — 不训练、不用标签，排序能力仍高于训练模型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5 / 5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两种方法各自的前 10 名候选均覆盖全部 5 个真实高活性突变体（F379L、F379E、C121S、V129G、C445S）</w:t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可直接写进报告的核心证据：模型在严格样本外条件下，用前 10 个候选就覆盖了全部 5 个实验验证的高活性突变体。这支撑“模型可用于候选筛选”的结论。注意预测绝对值被系统性压缩（实测 4.19 的 F379L 仅预测 1.49），因此请只用名次，不用绝对值。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07　候选突变体库排序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把最优排序器应用到候选库：1371 条候选，按零样本分数（剔除背景位点后）降序排列，输出可直接使用的排名表。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4095750"/>
            <wp:effectExtent t="0" r="0" b="0" l="0"/>
            <wp:docPr id="11" name="图 11　候选库零样本排名前 20。分数为各突变位点对数几率之和。" descr="图 11　候选库零样本排名前 20。分数为各突变位点对数几率之和。" title="图 11　候选库零样本排名前 20。分数为各突变位点对数几率之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11　候选库零样本排名前 20。分数为各突变位点对数几率之和。</w:t>
      </w:r>
    </w:p>
    <w:p>
      <w:pPr>
        <w:spacing w:after="60" w:before="180"/>
        <w:jc w:val="center"/>
      </w:pPr>
      <w:r>
        <w:drawing>
          <wp:inline distT="0" distB="0" distL="0" distR="0">
            <wp:extent cx="5619750" cy="2124075"/>
            <wp:effectExtent t="0" r="0" b="0" l="0"/>
            <wp:docPr id="12" name="图 12　零样本分数的两种聚合方式。左：求和会随突变数增加而累加负分，天然偏向单突变体；右：按位点取平均可消除这一数量偏差。做组合库筛选时建议两列同时参考。" descr="图 12　零样本分数的两种聚合方式。左：求和会随突变数增加而累加负分，天然偏向单突变体；右：按位点取平均可消除这一数量偏差。做组合库筛选时建议两列同时参考。" title="图 12　零样本分数的两种聚合方式。左：求和会随突变数增加而累加负分，天然偏向单突变体；右：按位点取平均可消除这一数量偏差。做组合库筛选时建议两列同时参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12　零样本分数的两种聚合方式。左：求和会随突变数增加而累加负分，天然偏向单突变体；右：按位点取平均可消除这一数量偏差。做组合库筛选时建议两列同时参考。</w:t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使用提醒：zs_sum 对多突变体不公平（突变越多、负分累加越多），因此排名表前列几乎全是单突变体。若目标是筛选多突变组合，请改用 zs_nonbg_mean 列排序，或对 zs_sum 做突变数归一化。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输出文件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26"/>
      </w:tblGrid>
      <w:tr>
        <w:trPr>
          <w:cantSplit/>
          <w:tblHeader/>
        </w:trPr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文件</w:t>
            </w:r>
          </w:p>
        </w:tc>
        <w:tc>
          <w:tcPr>
            <w:tcW w:type="dxa" w:w="35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内容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行数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results/zeroshot_candidate_ranking.csv</w:t>
            </w:r>
          </w:p>
        </w:tc>
        <w:tc>
          <w:tcPr>
            <w:tcW w:type="dxa" w:w="35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候选库按零样本分数降序排名，含 zs_sum / zs_nonbg_sum / zs_min / zs_mean / zs_nonbg_mean 多列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1371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results/sheet1_predictions.csv</w:t>
            </w:r>
          </w:p>
        </w:tc>
        <w:tc>
          <w:tcPr>
            <w:tcW w:type="dxa" w:w="35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Sheet1 实验突变体的样本外预测与三套名次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results/tier_cv_metrics.csv</w:t>
            </w:r>
          </w:p>
        </w:tc>
        <w:tc>
          <w:tcPr>
            <w:tcW w:type="dxa" w:w="35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六组方案的按位点留出评测指标汇总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results/tier_oof_predictions.csv</w:t>
            </w:r>
          </w:p>
        </w:tc>
        <w:tc>
          <w:tcPr>
            <w:tcW w:type="dxa" w:w="35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各方案的样本外（OOF）预测明细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64</w:t>
            </w:r>
          </w:p>
        </w:tc>
      </w:tr>
    </w:tbl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08　结论、局限与下一步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8.1　主要结论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数据协议是前提。两批次数据存在 1.76 倍尺度漂移，必须按批内 WT 归一化后合并；评测必须用按位点留出，随机折会虚高泛化能力。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零样本进化分数是最稳的排序信号。在 27 个位点留出评测下 macro Spearman 0.477、AUC 0.742，优于线上配方（0.287 / 0.641），且不消耗任何标签。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位点窗口表征在当前数据量下无效甚至有害。M2/M3 的 Spearman 为负，原“聚焦局部环境”的假设未获支持。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小样本下加训练头会损伤排序能力。把零样本分数交给 XGBoost 训练后（M1），表现从 0.477 掉到 0.170。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模型可用于候选筛选。在 Sheet1 的 18 个真实突变体上，前 10 名候选覆盖全部 5 个高活性突变体。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线上模型文件必须重训。旧版序列化的 xgb_esm.pkl 在当前 XGBoost 下丢失截距，预测整体偏移约 1.4，平台显示的精度指标不可信。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8.2　明确局限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组合突变预测是短板：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批次 B（46 个 F208M 组合变体）的零样本 Spearman 仅 0.23。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预测绝对值不可用：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实测 4.19 的突变体预测仅 1.49，存在系统性压缩，且批次标定差异尚未完全消除。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样本量小：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67 条数据下，任何在 1280 维表征上训练的模型都难以稳定收敛，这也是零样本方案胜出的根本原因。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8.3　后续建议（按优先级）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P0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用本地重训的同配方模型替换线上 xgb_esm.pkl，修复平台首页的 RMSE / 准确度显示，并明确标注“仅按名次使用”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P1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主动学习回灌，专门补组合突变样本（多突变叠加），这是唯一被验证的短板；每轮实验后把新数据按批内 WT 归一化后并入训练集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P2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把零样本分数作为候选筛选的第一道排序器稳定上线；放弃位点窗口特征方向，不再投入</w:t>
      </w:r>
    </w:p>
    <w:p>
      <w:pPr>
        <w:spacing w:after="0" w:before="140" w:line="300"/>
      </w:pPr>
      <w:r>
        <w:rPr>
          <w:rFonts w:ascii="Arial" w:eastAsia="Microsoft YaHei" w:hAnsi="Arial"/>
          <w:b/>
          <w:bCs/>
          <w:i w:val="false"/>
          <w:iCs w:val="false"/>
          <w:color w:val="1F4E9C"/>
          <w:sz w:val="32"/>
          <w:szCs w:val="32"/>
        </w:rPr>
        <w:t xml:space="preserve">P3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数据量积累到 200 条以上后，再考虑轻量微调（LoRA r=4 仅挂最后两层）或适配器方案；在此之前不投入</w:t>
      </w:r>
    </w:p>
    <w:p>
      <w:pPr>
        <w:shd w:fill="F4F7FC" w:val="clear"/>
        <w:spacing w:after="140" w:before="140" w:line="320"/>
        <w:ind w:left="140" w:righ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一句话给决策者：当前阶段不必追求“更准的绝对预测”，而应追求“更稳的名次”。零样本分数已经提供了这一能力，把资源投到补齐组合突变实验数据上，收益远大于继续在模型结构上做文章。</w:t>
      </w:r>
    </w:p>
    <w:p>
      <w:pPr>
        <w:pStyle w:val="Heading1"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0"/>
          <w:szCs w:val="30"/>
        </w:rPr>
        <w:t xml:space="preserve">09　脚本清单与复现步骤</w:t>
      </w:r>
    </w:p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全部脚本为新增文件，不改动既有线上代码。按顺序执行即可复现本报告全部结论。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800"/>
        <w:gridCol w:w="1526"/>
      </w:tblGrid>
      <w:tr>
        <w:trPr>
          <w:cantSplit/>
          <w:tblHeader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步骤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脚本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作用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9C"/>
                <w:sz w:val="19"/>
                <w:szCs w:val="19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scripts/build_dataset.py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合并两批次、批内 WT 归一化、自动识别背景位点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data/train_dataset.csv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scripts/extract_features_v2.py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抽 ESM2-650M 的 mean-pool / 位点窗口 / 零样本分数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data/feat_*.npy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scripts/train_eval_v2.py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按位点留出 CV，对比六组方案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results/tier_cv_metrics.csv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scripts/predict_sheet1.py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用线上同配方重训并对 Sheet1 做样本外预测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results/sheet1_predictions.csv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scripts/score_candidates_zeroshot.py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用零样本分数对候选库排序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results/zeroshot_candidate_ranking.csv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scripts/plot_sheet1_comparison.py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Sheet1 预测对比图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scripts/make_report_figures.py</w:t>
            </w:r>
          </w:p>
        </w:tc>
        <w:tc>
          <w:tcPr>
            <w:tcW w:type="dxa" w:w="3800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本报告全部 12 张图</w:t>
            </w:r>
          </w:p>
        </w:tc>
        <w:tc>
          <w:tcPr>
            <w:tcW w:type="dxa" w:w="1526"/>
            <w:tcBorders>
              <w:top w:val="single" w:color="D9E1EC" w:sz="1"/>
              <w:left w:val="single" w:color="D9E1EC" w:sz="1"/>
              <w:bottom w:val="single" w:color="D9E1EC" w:sz="1"/>
              <w:right w:val="single" w:color="D9E1E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results/figures/*.png</w:t>
            </w:r>
          </w:p>
        </w:tc>
      </w:tr>
    </w:tbl>
    <w:p>
      <w:pPr>
        <w:spacing w:after="6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执行命令</w:t>
      </w:r>
    </w:p>
    <w:p>
      <w:pPr>
        <w:shd w:fill="F4F7FC" w:val="clear"/>
        <w:spacing w:after="0" w:before="100" w:line="300"/>
        <w:ind w:lef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19"/>
          <w:szCs w:val="19"/>
        </w:rPr>
        <w:t xml:space="preserve">python scripts/build_dataset.py</w:t>
      </w:r>
    </w:p>
    <w:p>
      <w:pPr>
        <w:shd w:fill="F4F7FC" w:val="clear"/>
        <w:spacing w:after="0" w:before="0" w:line="300"/>
        <w:ind w:lef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19"/>
          <w:szCs w:val="19"/>
        </w:rPr>
        <w:t xml:space="preserve">python scripts/extract_features_v2.py</w:t>
      </w:r>
    </w:p>
    <w:p>
      <w:pPr>
        <w:shd w:fill="F4F7FC" w:val="clear"/>
        <w:spacing w:after="0" w:before="0" w:line="300"/>
        <w:ind w:lef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19"/>
          <w:szCs w:val="19"/>
        </w:rPr>
        <w:t xml:space="preserve">python scripts/train_eval_v2.py</w:t>
      </w:r>
    </w:p>
    <w:p>
      <w:pPr>
        <w:shd w:fill="F4F7FC" w:val="clear"/>
        <w:spacing w:after="0" w:before="0" w:line="300"/>
        <w:ind w:lef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19"/>
          <w:szCs w:val="19"/>
        </w:rPr>
        <w:t xml:space="preserve">python scripts/predict_sheet1.py</w:t>
      </w:r>
    </w:p>
    <w:p>
      <w:pPr>
        <w:shd w:fill="F4F7FC" w:val="clear"/>
        <w:spacing w:after="0" w:before="0" w:line="300"/>
        <w:ind w:lef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19"/>
          <w:szCs w:val="19"/>
        </w:rPr>
        <w:t xml:space="preserve">python scripts/score_candidates_zeroshot.py</w:t>
      </w:r>
    </w:p>
    <w:p>
      <w:pPr>
        <w:shd w:fill="F4F7FC" w:val="clear"/>
        <w:spacing w:after="160" w:before="0" w:line="300"/>
        <w:ind w:left="1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4E9C"/>
          <w:sz w:val="19"/>
          <w:szCs w:val="19"/>
        </w:rPr>
        <w:t xml:space="preserve">python scripts/make_report_figures.py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4"/>
          <w:szCs w:val="24"/>
        </w:rPr>
        <w:t xml:space="preserve">运行环境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Python 3.13 · PyTorch 2.9（CUDA）· esm 预训练权重已本地缓存（esm2_t33_650M_UR50D）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XGBoost 3.0.5 · scikit-learn · pandas · numpy · matplotlib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注意：一次只运行一个模型任务，避免算力争抢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40" w:before="300"/>
      <w:outlineLvl w:val="0"/>
    </w:pPr>
    <w:rPr>
      <w:rFonts w:ascii="Arial" w:eastAsia="Microsoft YaHei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20"/>
      <w:outlineLvl w:val="1"/>
    </w:pPr>
    <w:rPr>
      <w:rFonts w:ascii="Arial" w:eastAsia="Microsoft YaHei" w:hAnsi="Arial"/>
      <w:b/>
      <w:bCs/>
      <w:color w:val="1A1A1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395d32281171b6cc9226f2fa505f7e6e1020a3.png"/><Relationship Id="rId8" Type="http://schemas.openxmlformats.org/officeDocument/2006/relationships/image" Target="media/7dd73d82eaba52f4165298c21a3e07c34e4a6d36.png"/><Relationship Id="rId9" Type="http://schemas.openxmlformats.org/officeDocument/2006/relationships/image" Target="media/f2548f60cc90d258fc55453f21b3b1b588041379.png"/><Relationship Id="rId10" Type="http://schemas.openxmlformats.org/officeDocument/2006/relationships/image" Target="media/701c38de67d8a2c3223462d08ebb7018eccc3832.png"/><Relationship Id="rId11" Type="http://schemas.openxmlformats.org/officeDocument/2006/relationships/image" Target="media/7491fa825519a16dfdb7cef6287bbaee4845a138.png"/><Relationship Id="rId12" Type="http://schemas.openxmlformats.org/officeDocument/2006/relationships/image" Target="media/9e71698bf7e537d86ef6d7f534063e8c6e043640.png"/><Relationship Id="rId13" Type="http://schemas.openxmlformats.org/officeDocument/2006/relationships/image" Target="media/1bed6749fe24496d805b1b54d609b6e4864e4b17.png"/><Relationship Id="rId14" Type="http://schemas.openxmlformats.org/officeDocument/2006/relationships/image" Target="media/4be31bacae3bfa2f880ae35fc941bf842575872d.png"/><Relationship Id="rId15" Type="http://schemas.openxmlformats.org/officeDocument/2006/relationships/image" Target="media/0801765c8ef36b6e771efcf0643057703ee9cab8.png"/><Relationship Id="rId16" Type="http://schemas.openxmlformats.org/officeDocument/2006/relationships/image" Target="media/b552b7c0b6f61c788a9a11f5efc20ac1fda92680.png"/><Relationship Id="rId17" Type="http://schemas.openxmlformats.org/officeDocument/2006/relationships/image" Target="media/3a832faad9077edfb5be155e9984937a274d06df.png"/><Relationship Id="rId18" Type="http://schemas.openxmlformats.org/officeDocument/2006/relationships/image" Target="media/b59bea2cbcb5fa12803e7cb51a62a1fe3705e0b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2026-10-16T07:00:33.335Z</dcterms:created>
  <dcterms:modified xsi:type="dcterms:W3CDTF">2026-10-16T07:00:33.337Z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